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7"/>
      </w:tblGrid>
      <w:tr w:rsidR="009C4841" w:rsidRPr="00E16CC7" w14:paraId="29CE6A5F" w14:textId="77777777" w:rsidTr="00A1702C">
        <w:trPr>
          <w:jc w:val="center"/>
        </w:trPr>
        <w:tc>
          <w:tcPr>
            <w:tcW w:w="8237" w:type="dxa"/>
            <w:tcMar>
              <w:top w:w="170" w:type="dxa"/>
              <w:left w:w="170" w:type="dxa"/>
              <w:bottom w:w="170" w:type="dxa"/>
              <w:right w:w="170" w:type="dxa"/>
            </w:tcMar>
          </w:tcPr>
          <w:p w14:paraId="4275C14B" w14:textId="77777777" w:rsidR="0011621D" w:rsidRPr="00E16CC7" w:rsidRDefault="0011621D" w:rsidP="00383A1D">
            <w:pPr>
              <w:pStyle w:val="Marge"/>
              <w:adjustRightInd w:val="0"/>
              <w:jc w:val="center"/>
              <w:rPr>
                <w:rFonts w:cs="Arial"/>
                <w:szCs w:val="22"/>
              </w:rPr>
            </w:pPr>
            <w:r w:rsidRPr="00E16CC7">
              <w:rPr>
                <w:rFonts w:cs="Arial"/>
                <w:szCs w:val="22"/>
                <w:u w:val="single"/>
              </w:rPr>
              <w:t>Summary</w:t>
            </w:r>
          </w:p>
          <w:p w14:paraId="624FC892" w14:textId="43480697" w:rsidR="0011621D" w:rsidRPr="00E16CC7" w:rsidRDefault="005537DE" w:rsidP="009164D2">
            <w:pPr>
              <w:pStyle w:val="CommentText"/>
              <w:adjustRightInd w:val="0"/>
              <w:snapToGrid w:val="0"/>
              <w:spacing w:after="60"/>
              <w:jc w:val="both"/>
              <w:rPr>
                <w:rFonts w:ascii="Arial" w:eastAsia="Times New Roman" w:hAnsi="Arial" w:cs="Arial"/>
                <w:snapToGrid w:val="0"/>
                <w:sz w:val="22"/>
                <w:szCs w:val="22"/>
              </w:rPr>
            </w:pPr>
            <w:r w:rsidRPr="00E16CC7">
              <w:rPr>
                <w:rFonts w:ascii="Arial" w:eastAsia="Times New Roman" w:hAnsi="Arial" w:cs="Arial"/>
                <w:snapToGrid w:val="0"/>
                <w:sz w:val="22"/>
                <w:szCs w:val="22"/>
              </w:rPr>
              <w:t xml:space="preserve">This </w:t>
            </w:r>
            <w:r w:rsidR="00E16CC7" w:rsidRPr="00E16CC7">
              <w:rPr>
                <w:rFonts w:ascii="Arial" w:eastAsia="Times New Roman" w:hAnsi="Arial" w:cs="Arial"/>
                <w:snapToGrid w:val="0"/>
                <w:sz w:val="22"/>
                <w:szCs w:val="22"/>
              </w:rPr>
              <w:t>brief update</w:t>
            </w:r>
            <w:r w:rsidR="00A01F60" w:rsidRPr="00E16CC7">
              <w:rPr>
                <w:rFonts w:ascii="Arial" w:eastAsia="Times New Roman" w:hAnsi="Arial" w:cs="Arial"/>
                <w:snapToGrid w:val="0"/>
                <w:sz w:val="22"/>
                <w:szCs w:val="22"/>
              </w:rPr>
              <w:t xml:space="preserve"> </w:t>
            </w:r>
            <w:r w:rsidRPr="00E16CC7">
              <w:rPr>
                <w:rFonts w:ascii="Arial" w:eastAsia="Times New Roman" w:hAnsi="Arial" w:cs="Arial"/>
                <w:snapToGrid w:val="0"/>
                <w:sz w:val="22"/>
                <w:szCs w:val="22"/>
              </w:rPr>
              <w:t xml:space="preserve">complements the </w:t>
            </w:r>
            <w:r w:rsidR="00A01F60" w:rsidRPr="00E16CC7">
              <w:rPr>
                <w:rFonts w:ascii="Arial" w:eastAsia="Times New Roman" w:hAnsi="Arial" w:cs="Arial"/>
                <w:snapToGrid w:val="0"/>
                <w:sz w:val="22"/>
                <w:szCs w:val="22"/>
              </w:rPr>
              <w:t>Executive Secretary Report to the 53</w:t>
            </w:r>
            <w:r w:rsidR="00A01F60" w:rsidRPr="00E16CC7">
              <w:rPr>
                <w:rFonts w:ascii="Arial" w:eastAsia="Times New Roman" w:hAnsi="Arial" w:cs="Arial"/>
                <w:snapToGrid w:val="0"/>
                <w:sz w:val="22"/>
                <w:szCs w:val="22"/>
                <w:vertAlign w:val="superscript"/>
              </w:rPr>
              <w:t>rd</w:t>
            </w:r>
            <w:r w:rsidR="00A01F60" w:rsidRPr="00E16CC7">
              <w:rPr>
                <w:rFonts w:ascii="Arial" w:eastAsia="Times New Roman" w:hAnsi="Arial" w:cs="Arial"/>
                <w:snapToGrid w:val="0"/>
                <w:sz w:val="22"/>
                <w:szCs w:val="22"/>
              </w:rPr>
              <w:t xml:space="preserve"> Session of IOC Executive </w:t>
            </w:r>
            <w:r w:rsidR="009164D2">
              <w:rPr>
                <w:rFonts w:ascii="Arial" w:eastAsia="Times New Roman" w:hAnsi="Arial" w:cs="Arial"/>
                <w:snapToGrid w:val="0"/>
                <w:sz w:val="22"/>
                <w:szCs w:val="22"/>
              </w:rPr>
              <w:t xml:space="preserve">Council published as document </w:t>
            </w:r>
            <w:hyperlink r:id="rId8" w:history="1">
              <w:r w:rsidR="00062DF5" w:rsidRPr="00834AD2">
                <w:rPr>
                  <w:rStyle w:val="Hyperlink"/>
                  <w:rFonts w:ascii="Arial" w:eastAsia="Times New Roman" w:hAnsi="Arial" w:cs="Arial"/>
                  <w:snapToGrid w:val="0"/>
                  <w:sz w:val="22"/>
                  <w:szCs w:val="22"/>
                </w:rPr>
                <w:t>IOC/EC-53/3.1.Doc(1)</w:t>
              </w:r>
            </w:hyperlink>
            <w:r w:rsidR="00E16CC7" w:rsidRPr="00E16CC7">
              <w:rPr>
                <w:rFonts w:ascii="Arial" w:eastAsia="Times New Roman" w:hAnsi="Arial" w:cs="Arial"/>
                <w:snapToGrid w:val="0"/>
                <w:sz w:val="22"/>
                <w:szCs w:val="22"/>
              </w:rPr>
              <w:t>.</w:t>
            </w:r>
            <w:r w:rsidR="009164D2">
              <w:rPr>
                <w:rFonts w:ascii="Arial" w:eastAsia="Times New Roman" w:hAnsi="Arial" w:cs="Arial"/>
                <w:snapToGrid w:val="0"/>
                <w:sz w:val="22"/>
                <w:szCs w:val="22"/>
              </w:rPr>
              <w:t xml:space="preserve"> It covers the work accomplished in the extended intersessional period due to the postponement of the 53</w:t>
            </w:r>
            <w:r w:rsidR="009164D2" w:rsidRPr="00383A1D">
              <w:rPr>
                <w:rFonts w:ascii="Arial" w:eastAsia="Times New Roman" w:hAnsi="Arial" w:cs="Arial"/>
                <w:snapToGrid w:val="0"/>
                <w:sz w:val="22"/>
                <w:szCs w:val="22"/>
                <w:vertAlign w:val="superscript"/>
              </w:rPr>
              <w:t>rd</w:t>
            </w:r>
            <w:r w:rsidR="009164D2">
              <w:rPr>
                <w:rFonts w:ascii="Arial" w:eastAsia="Times New Roman" w:hAnsi="Arial" w:cs="Arial"/>
                <w:snapToGrid w:val="0"/>
                <w:sz w:val="22"/>
                <w:szCs w:val="22"/>
              </w:rPr>
              <w:t xml:space="preserve"> session</w:t>
            </w:r>
            <w:r w:rsidR="00194E71">
              <w:rPr>
                <w:rFonts w:ascii="Arial" w:eastAsia="Times New Roman" w:hAnsi="Arial" w:cs="Arial"/>
                <w:snapToGrid w:val="0"/>
                <w:sz w:val="22"/>
                <w:szCs w:val="22"/>
              </w:rPr>
              <w:t xml:space="preserve"> and includes</w:t>
            </w:r>
            <w:r w:rsidR="009164D2">
              <w:rPr>
                <w:rFonts w:ascii="Arial" w:eastAsia="Times New Roman" w:hAnsi="Arial" w:cs="Arial"/>
                <w:snapToGrid w:val="0"/>
                <w:sz w:val="22"/>
                <w:szCs w:val="22"/>
              </w:rPr>
              <w:t xml:space="preserve"> the Executive Secretary’s considerations of the Commission’s current challenges and perspectives, as well as an update on the reports provided to UNESCO Governing Bodies</w:t>
            </w:r>
            <w:r w:rsidR="00062DF5">
              <w:rPr>
                <w:rFonts w:ascii="Arial" w:eastAsia="Times New Roman" w:hAnsi="Arial" w:cs="Arial"/>
                <w:snapToGrid w:val="0"/>
                <w:sz w:val="22"/>
                <w:szCs w:val="22"/>
              </w:rPr>
              <w:t xml:space="preserve"> in annexes to this document for ease of reference</w:t>
            </w:r>
            <w:r w:rsidR="009164D2">
              <w:rPr>
                <w:rFonts w:ascii="Arial" w:eastAsia="Times New Roman" w:hAnsi="Arial" w:cs="Arial"/>
                <w:snapToGrid w:val="0"/>
                <w:sz w:val="22"/>
                <w:szCs w:val="22"/>
              </w:rPr>
              <w:t>.</w:t>
            </w:r>
            <w:r w:rsidR="00E16CC7" w:rsidRPr="00E16CC7">
              <w:rPr>
                <w:rFonts w:ascii="Arial" w:eastAsia="Times New Roman" w:hAnsi="Arial" w:cs="Arial"/>
                <w:snapToGrid w:val="0"/>
                <w:sz w:val="22"/>
                <w:szCs w:val="22"/>
              </w:rPr>
              <w:t xml:space="preserve"> </w:t>
            </w:r>
          </w:p>
        </w:tc>
      </w:tr>
    </w:tbl>
    <w:p w14:paraId="6ED3967A" w14:textId="77777777" w:rsidR="0011621D" w:rsidRPr="00E16CC7" w:rsidRDefault="0011621D" w:rsidP="00C24D7A">
      <w:pPr>
        <w:pStyle w:val="Heading3"/>
        <w:adjustRightInd w:val="0"/>
        <w:spacing w:after="0"/>
        <w:rPr>
          <w:rFonts w:cs="Arial"/>
        </w:rPr>
        <w:sectPr w:rsidR="0011621D" w:rsidRPr="00E16CC7" w:rsidSect="00606BC6">
          <w:headerReference w:type="even" r:id="rId9"/>
          <w:headerReference w:type="default" r:id="rId10"/>
          <w:headerReference w:type="first" r:id="rId11"/>
          <w:pgSz w:w="11906" w:h="16838" w:code="9"/>
          <w:pgMar w:top="1418" w:right="1134" w:bottom="1134" w:left="1134" w:header="709" w:footer="709" w:gutter="0"/>
          <w:cols w:space="708"/>
          <w:titlePg/>
          <w:docGrid w:linePitch="360"/>
        </w:sectPr>
      </w:pPr>
    </w:p>
    <w:p w14:paraId="4640A99A" w14:textId="3C735730" w:rsidR="00812C2F" w:rsidRPr="00E16CC7" w:rsidRDefault="000B7937" w:rsidP="00383A1D">
      <w:pPr>
        <w:pStyle w:val="Heading1"/>
        <w:tabs>
          <w:tab w:val="left" w:pos="709"/>
        </w:tabs>
        <w:adjustRightInd w:val="0"/>
        <w:snapToGrid w:val="0"/>
        <w:spacing w:before="0" w:after="240" w:line="240" w:lineRule="auto"/>
        <w:rPr>
          <w:rFonts w:ascii="Arial" w:eastAsia="Verdana" w:hAnsi="Arial" w:cs="Arial"/>
          <w:b/>
          <w:bCs/>
          <w:color w:val="auto"/>
          <w:kern w:val="28"/>
          <w:sz w:val="22"/>
          <w:szCs w:val="22"/>
          <w:lang w:eastAsia="zh-TW"/>
        </w:rPr>
      </w:pPr>
      <w:r w:rsidRPr="00E16CC7">
        <w:rPr>
          <w:rFonts w:ascii="Arial" w:eastAsia="Verdana" w:hAnsi="Arial" w:cs="Arial"/>
          <w:b/>
          <w:bCs/>
          <w:color w:val="auto"/>
          <w:kern w:val="28"/>
          <w:sz w:val="22"/>
          <w:szCs w:val="22"/>
          <w:lang w:eastAsia="zh-TW"/>
        </w:rPr>
        <w:lastRenderedPageBreak/>
        <w:t xml:space="preserve">Brief </w:t>
      </w:r>
      <w:r w:rsidR="0050373C">
        <w:rPr>
          <w:rFonts w:ascii="Arial" w:eastAsia="Verdana" w:hAnsi="Arial" w:cs="Arial"/>
          <w:b/>
          <w:bCs/>
          <w:color w:val="auto"/>
          <w:kern w:val="28"/>
          <w:sz w:val="22"/>
          <w:szCs w:val="22"/>
          <w:lang w:eastAsia="zh-TW"/>
        </w:rPr>
        <w:t>update on the</w:t>
      </w:r>
      <w:r w:rsidRPr="00E16CC7">
        <w:rPr>
          <w:rFonts w:ascii="Arial" w:eastAsia="Verdana" w:hAnsi="Arial" w:cs="Arial"/>
          <w:b/>
          <w:bCs/>
          <w:color w:val="auto"/>
          <w:kern w:val="28"/>
          <w:sz w:val="22"/>
          <w:szCs w:val="22"/>
          <w:lang w:eastAsia="zh-TW"/>
        </w:rPr>
        <w:t xml:space="preserve"> accomplished work</w:t>
      </w:r>
    </w:p>
    <w:p w14:paraId="1E94DD40" w14:textId="5A92D183" w:rsidR="00CA7AAC" w:rsidRDefault="000B7937" w:rsidP="007B4F94">
      <w:pPr>
        <w:pStyle w:val="Style2"/>
        <w:numPr>
          <w:ilvl w:val="0"/>
          <w:numId w:val="1"/>
        </w:numPr>
        <w:tabs>
          <w:tab w:val="left" w:pos="709"/>
        </w:tabs>
        <w:ind w:left="0" w:firstLine="0"/>
        <w:rPr>
          <w:rFonts w:cs="Arial"/>
          <w:snapToGrid/>
        </w:rPr>
      </w:pPr>
      <w:r w:rsidRPr="00E16CC7">
        <w:rPr>
          <w:rFonts w:cs="Arial"/>
          <w:snapToGrid/>
        </w:rPr>
        <w:t xml:space="preserve">A key focus of the Commission in the </w:t>
      </w:r>
      <w:r w:rsidR="00981AE5">
        <w:rPr>
          <w:rFonts w:cs="Arial"/>
          <w:snapToGrid/>
        </w:rPr>
        <w:t>last six months</w:t>
      </w:r>
      <w:r w:rsidR="005A17E9">
        <w:rPr>
          <w:rFonts w:cs="Arial"/>
          <w:snapToGrid/>
        </w:rPr>
        <w:t xml:space="preserve"> </w:t>
      </w:r>
      <w:r w:rsidRPr="00E16CC7">
        <w:rPr>
          <w:rFonts w:cs="Arial"/>
          <w:snapToGrid/>
        </w:rPr>
        <w:t xml:space="preserve">was on the preparation of the </w:t>
      </w:r>
      <w:r w:rsidRPr="00E16CC7">
        <w:rPr>
          <w:rFonts w:cs="Arial"/>
          <w:i/>
          <w:snapToGrid/>
        </w:rPr>
        <w:t xml:space="preserve">Implementation Plan for the United </w:t>
      </w:r>
      <w:r w:rsidRPr="00E16CC7">
        <w:rPr>
          <w:i/>
        </w:rPr>
        <w:t>Nations</w:t>
      </w:r>
      <w:r w:rsidRPr="00E16CC7">
        <w:rPr>
          <w:rFonts w:cs="Arial"/>
          <w:i/>
          <w:snapToGrid/>
        </w:rPr>
        <w:t xml:space="preserve"> Decade of Ocean Science for Sustainable Development 2021–2030</w:t>
      </w:r>
      <w:r w:rsidRPr="00E16CC7">
        <w:rPr>
          <w:rFonts w:cs="Arial"/>
          <w:snapToGrid/>
        </w:rPr>
        <w:t xml:space="preserve"> </w:t>
      </w:r>
      <w:r w:rsidR="00E16CC7" w:rsidRPr="00E16CC7">
        <w:rPr>
          <w:rFonts w:cs="Arial"/>
          <w:snapToGrid/>
        </w:rPr>
        <w:t>and on creation of enabling environment for successful start of the Decade. Since March</w:t>
      </w:r>
      <w:r w:rsidR="004130B4">
        <w:rPr>
          <w:rFonts w:cs="Arial"/>
          <w:snapToGrid/>
        </w:rPr>
        <w:t>–</w:t>
      </w:r>
      <w:r w:rsidR="00E16CC7" w:rsidRPr="00E16CC7">
        <w:rPr>
          <w:rFonts w:cs="Arial"/>
          <w:snapToGrid/>
        </w:rPr>
        <w:t>April two major peer</w:t>
      </w:r>
      <w:r w:rsidR="004130B4">
        <w:rPr>
          <w:rFonts w:cs="Arial"/>
          <w:snapToGrid/>
        </w:rPr>
        <w:t>-</w:t>
      </w:r>
      <w:r w:rsidR="00E16CC7" w:rsidRPr="00E16CC7">
        <w:rPr>
          <w:rFonts w:cs="Arial"/>
          <w:snapToGrid/>
        </w:rPr>
        <w:t xml:space="preserve">reviews turned the </w:t>
      </w:r>
      <w:r w:rsidR="0050373C">
        <w:rPr>
          <w:rFonts w:cs="Arial"/>
          <w:snapToGrid/>
        </w:rPr>
        <w:t xml:space="preserve">Implementation </w:t>
      </w:r>
      <w:r w:rsidR="00E16CC7" w:rsidRPr="00E16CC7">
        <w:rPr>
          <w:rFonts w:cs="Arial"/>
          <w:snapToGrid/>
        </w:rPr>
        <w:t xml:space="preserve">Plan from a </w:t>
      </w:r>
      <w:r w:rsidR="00951D1B">
        <w:rPr>
          <w:rFonts w:cs="Arial"/>
          <w:snapToGrid/>
        </w:rPr>
        <w:t xml:space="preserve">zero </w:t>
      </w:r>
      <w:r w:rsidR="0050373C">
        <w:rPr>
          <w:rFonts w:cs="Arial"/>
          <w:snapToGrid/>
        </w:rPr>
        <w:t>d</w:t>
      </w:r>
      <w:r w:rsidR="00E16CC7" w:rsidRPr="00E16CC7">
        <w:rPr>
          <w:rFonts w:cs="Arial"/>
          <w:snapToGrid/>
        </w:rPr>
        <w:t>raft to Version 1.0 and then to 2.0, and the latter version was submitted to the</w:t>
      </w:r>
      <w:r w:rsidR="00E16CC7">
        <w:rPr>
          <w:rFonts w:cs="Arial"/>
          <w:snapToGrid/>
        </w:rPr>
        <w:t xml:space="preserve"> </w:t>
      </w:r>
      <w:r w:rsidR="00E16CC7" w:rsidRPr="00E16CC7">
        <w:rPr>
          <w:rFonts w:cs="Arial"/>
          <w:snapToGrid/>
        </w:rPr>
        <w:t>75</w:t>
      </w:r>
      <w:r w:rsidR="00E16CC7" w:rsidRPr="00E16CC7">
        <w:rPr>
          <w:rFonts w:cs="Arial"/>
          <w:snapToGrid/>
          <w:vertAlign w:val="superscript"/>
        </w:rPr>
        <w:t>th</w:t>
      </w:r>
      <w:r w:rsidR="00E16CC7">
        <w:rPr>
          <w:rFonts w:cs="Arial"/>
          <w:snapToGrid/>
        </w:rPr>
        <w:t xml:space="preserve"> </w:t>
      </w:r>
      <w:r w:rsidR="00E16CC7" w:rsidRPr="00E16CC7">
        <w:rPr>
          <w:rFonts w:cs="Arial"/>
          <w:snapToGrid/>
        </w:rPr>
        <w:t xml:space="preserve">Session of UN General Assembly. </w:t>
      </w:r>
      <w:r w:rsidR="00CA7AAC">
        <w:rPr>
          <w:rFonts w:cs="Arial"/>
          <w:snapToGrid/>
        </w:rPr>
        <w:t xml:space="preserve">The </w:t>
      </w:r>
      <w:r w:rsidR="0050373C">
        <w:rPr>
          <w:rFonts w:cs="Arial"/>
          <w:snapToGrid/>
        </w:rPr>
        <w:t>Implementation P</w:t>
      </w:r>
      <w:r w:rsidR="00CA7AAC">
        <w:rPr>
          <w:rFonts w:cs="Arial"/>
          <w:snapToGrid/>
        </w:rPr>
        <w:t xml:space="preserve">lan sets the outcomes, goals, and challenges for the Decade. It also outlines its coordinating and monitoring mechanisms. The task now is two-fold: to </w:t>
      </w:r>
      <w:r w:rsidR="009164D2">
        <w:rPr>
          <w:rFonts w:cs="Arial"/>
          <w:snapToGrid/>
        </w:rPr>
        <w:t>support</w:t>
      </w:r>
      <w:r w:rsidR="00CA7AAC">
        <w:rPr>
          <w:rFonts w:cs="Arial"/>
          <w:snapToGrid/>
        </w:rPr>
        <w:t xml:space="preserve"> the Plan </w:t>
      </w:r>
      <w:r w:rsidR="009164D2">
        <w:rPr>
          <w:rFonts w:cs="Arial"/>
          <w:snapToGrid/>
        </w:rPr>
        <w:t>with concrete</w:t>
      </w:r>
      <w:r w:rsidR="00CA7AAC">
        <w:rPr>
          <w:rFonts w:cs="Arial"/>
          <w:snapToGrid/>
        </w:rPr>
        <w:t xml:space="preserve"> scientific </w:t>
      </w:r>
      <w:r w:rsidR="009164D2">
        <w:rPr>
          <w:rFonts w:cs="Arial"/>
          <w:snapToGrid/>
        </w:rPr>
        <w:t>inputs and initiatives</w:t>
      </w:r>
      <w:r w:rsidR="00CA7AAC">
        <w:rPr>
          <w:rFonts w:cs="Arial"/>
          <w:snapToGrid/>
        </w:rPr>
        <w:t xml:space="preserve"> and move forward </w:t>
      </w:r>
      <w:r w:rsidR="009164D2">
        <w:rPr>
          <w:rFonts w:cs="Arial"/>
          <w:snapToGrid/>
        </w:rPr>
        <w:t xml:space="preserve">the </w:t>
      </w:r>
      <w:r w:rsidR="0050373C">
        <w:rPr>
          <w:rFonts w:cs="Arial"/>
          <w:snapToGrid/>
        </w:rPr>
        <w:t xml:space="preserve">Decade </w:t>
      </w:r>
      <w:r w:rsidR="00CA7AAC">
        <w:rPr>
          <w:rFonts w:cs="Arial"/>
          <w:snapToGrid/>
        </w:rPr>
        <w:t xml:space="preserve">activities engaging nations, organizations and people, simultaneously seeking </w:t>
      </w:r>
      <w:r w:rsidR="004130B4">
        <w:rPr>
          <w:rFonts w:cs="Arial"/>
          <w:snapToGrid/>
        </w:rPr>
        <w:t xml:space="preserve">a </w:t>
      </w:r>
      <w:r w:rsidR="00CA7AAC">
        <w:rPr>
          <w:rFonts w:cs="Arial"/>
          <w:snapToGrid/>
        </w:rPr>
        <w:t xml:space="preserve">finding, </w:t>
      </w:r>
      <w:r w:rsidR="0050373C">
        <w:rPr>
          <w:rFonts w:cs="Arial"/>
          <w:snapToGrid/>
        </w:rPr>
        <w:t xml:space="preserve">increasing </w:t>
      </w:r>
      <w:r w:rsidR="00CA7AAC">
        <w:rPr>
          <w:rFonts w:cs="Arial"/>
          <w:snapToGrid/>
        </w:rPr>
        <w:t>commitment</w:t>
      </w:r>
      <w:r w:rsidR="009164D2">
        <w:rPr>
          <w:rFonts w:cs="Arial"/>
          <w:snapToGrid/>
        </w:rPr>
        <w:t xml:space="preserve"> and broadening engagement</w:t>
      </w:r>
      <w:r w:rsidR="00CA7AAC">
        <w:rPr>
          <w:rFonts w:cs="Arial"/>
          <w:snapToGrid/>
        </w:rPr>
        <w:t>. This is how the Decade will unroll</w:t>
      </w:r>
      <w:r w:rsidR="009164D2">
        <w:rPr>
          <w:rFonts w:cs="Arial"/>
          <w:snapToGrid/>
        </w:rPr>
        <w:t>,</w:t>
      </w:r>
      <w:r w:rsidR="00CA7AAC">
        <w:rPr>
          <w:rFonts w:cs="Arial"/>
          <w:snapToGrid/>
        </w:rPr>
        <w:t xml:space="preserve"> eventually leading the world towards creating the science we need for the ocean we want. </w:t>
      </w:r>
      <w:r w:rsidR="00ED58D1">
        <w:rPr>
          <w:rFonts w:cs="Arial"/>
          <w:snapToGrid/>
        </w:rPr>
        <w:t>The Executive Secretary</w:t>
      </w:r>
      <w:r w:rsidR="00CA7AAC">
        <w:rPr>
          <w:rFonts w:cs="Arial"/>
          <w:snapToGrid/>
        </w:rPr>
        <w:t xml:space="preserve"> deeply thank</w:t>
      </w:r>
      <w:r w:rsidR="00ED58D1">
        <w:rPr>
          <w:rFonts w:cs="Arial"/>
          <w:snapToGrid/>
        </w:rPr>
        <w:t>s</w:t>
      </w:r>
      <w:r w:rsidR="00CA7AAC">
        <w:rPr>
          <w:rFonts w:cs="Arial"/>
          <w:snapToGrid/>
        </w:rPr>
        <w:t xml:space="preserve"> the Decade team at IOC, the Executive Planning Group and many supporters</w:t>
      </w:r>
      <w:r w:rsidR="009164D2">
        <w:rPr>
          <w:rFonts w:cs="Arial"/>
          <w:snapToGrid/>
        </w:rPr>
        <w:t xml:space="preserve"> among Member States</w:t>
      </w:r>
      <w:r w:rsidR="00CA7AAC">
        <w:rPr>
          <w:rFonts w:cs="Arial"/>
          <w:snapToGrid/>
        </w:rPr>
        <w:t xml:space="preserve"> for their most professional, dedicated and truly tireless work and </w:t>
      </w:r>
      <w:r w:rsidR="0050373C">
        <w:rPr>
          <w:rFonts w:cs="Arial"/>
          <w:snapToGrid/>
        </w:rPr>
        <w:t xml:space="preserve">for </w:t>
      </w:r>
      <w:r w:rsidR="00CA7AAC">
        <w:rPr>
          <w:rFonts w:cs="Arial"/>
          <w:snapToGrid/>
        </w:rPr>
        <w:t xml:space="preserve">the very good results of it. </w:t>
      </w:r>
    </w:p>
    <w:p w14:paraId="3C66516C" w14:textId="3183ACEE" w:rsidR="006B117D" w:rsidRPr="006B117D" w:rsidRDefault="005A17E9" w:rsidP="007B4F94">
      <w:pPr>
        <w:pStyle w:val="Style2"/>
        <w:numPr>
          <w:ilvl w:val="0"/>
          <w:numId w:val="1"/>
        </w:numPr>
        <w:tabs>
          <w:tab w:val="left" w:pos="709"/>
        </w:tabs>
        <w:ind w:left="0" w:firstLine="0"/>
        <w:rPr>
          <w:rFonts w:cs="Arial"/>
        </w:rPr>
      </w:pPr>
      <w:r>
        <w:rPr>
          <w:rFonts w:cs="Arial"/>
          <w:snapToGrid/>
        </w:rPr>
        <w:t xml:space="preserve">IOC will not only need to coordinate the Decade but is </w:t>
      </w:r>
      <w:r w:rsidR="009164D2">
        <w:rPr>
          <w:rFonts w:cs="Arial"/>
          <w:snapToGrid/>
        </w:rPr>
        <w:t xml:space="preserve">also </w:t>
      </w:r>
      <w:r>
        <w:rPr>
          <w:rFonts w:cs="Arial"/>
          <w:snapToGrid/>
        </w:rPr>
        <w:t xml:space="preserve">expected to make a strong contribution to its programme of work. </w:t>
      </w:r>
      <w:r w:rsidR="004070E3">
        <w:rPr>
          <w:rFonts w:cs="Arial"/>
          <w:snapToGrid/>
        </w:rPr>
        <w:t xml:space="preserve">The contributions may come from various IOC programmes and constituencies, and, hopefully, they will be numerous and diverse. One such potential contribution, </w:t>
      </w:r>
      <w:r w:rsidR="00CC77F4">
        <w:rPr>
          <w:rFonts w:cs="Arial"/>
          <w:snapToGrid/>
        </w:rPr>
        <w:t xml:space="preserve">on </w:t>
      </w:r>
      <w:r w:rsidR="004070E3">
        <w:rPr>
          <w:rFonts w:cs="Arial"/>
          <w:snapToGrid/>
        </w:rPr>
        <w:t xml:space="preserve">the proposal of which the Secretariat is now working, could be a </w:t>
      </w:r>
      <w:r w:rsidR="000B7937" w:rsidRPr="005A17E9">
        <w:rPr>
          <w:rFonts w:cs="Arial"/>
          <w:snapToGrid/>
        </w:rPr>
        <w:t>State of the Ocean Report (StOR</w:t>
      </w:r>
      <w:r w:rsidR="000B7937" w:rsidRPr="005A17E9">
        <w:rPr>
          <w:rFonts w:cs="Arial"/>
          <w:iCs w:val="0"/>
          <w:snapToGrid/>
        </w:rPr>
        <w:t>, IOC/INF-1393)</w:t>
      </w:r>
      <w:r>
        <w:rPr>
          <w:rFonts w:cs="Arial"/>
          <w:iCs w:val="0"/>
          <w:snapToGrid/>
        </w:rPr>
        <w:t xml:space="preserve">. </w:t>
      </w:r>
      <w:r>
        <w:rPr>
          <w:rFonts w:cs="Arial"/>
          <w:snapToGrid/>
        </w:rPr>
        <w:t>C</w:t>
      </w:r>
      <w:r w:rsidR="000B7937" w:rsidRPr="005A17E9">
        <w:rPr>
          <w:rFonts w:cs="Arial"/>
          <w:snapToGrid/>
        </w:rPr>
        <w:t>oordinated by IOC</w:t>
      </w:r>
      <w:r>
        <w:rPr>
          <w:rFonts w:cs="Arial"/>
          <w:snapToGrid/>
        </w:rPr>
        <w:t xml:space="preserve">, it would </w:t>
      </w:r>
      <w:r w:rsidR="000B7937" w:rsidRPr="005A17E9">
        <w:rPr>
          <w:rFonts w:cs="Arial"/>
          <w:snapToGrid/>
        </w:rPr>
        <w:t xml:space="preserve">present to the world on the annual basis a summary of key changes in the ocean state, in terms of its physical, biogeochemical, biological and ecological variables, supplemented by a strategic summary of developments with regard to integrated ocean management, such as percentage of area covered by area management tools, observations, etc. </w:t>
      </w:r>
      <w:r w:rsidR="00636BF7">
        <w:rPr>
          <w:rFonts w:cs="Arial"/>
          <w:snapToGrid/>
        </w:rPr>
        <w:t xml:space="preserve">It </w:t>
      </w:r>
      <w:r w:rsidR="00636BF7" w:rsidRPr="00D33B0B">
        <w:rPr>
          <w:rFonts w:cs="Arial"/>
          <w:snapToGrid/>
        </w:rPr>
        <w:t xml:space="preserve">would </w:t>
      </w:r>
      <w:r w:rsidR="00636BF7">
        <w:rPr>
          <w:rFonts w:cs="Arial"/>
          <w:snapToGrid/>
        </w:rPr>
        <w:t>f</w:t>
      </w:r>
      <w:r w:rsidR="00636BF7" w:rsidRPr="00D33B0B">
        <w:rPr>
          <w:rFonts w:cs="Arial"/>
          <w:snapToGrid/>
        </w:rPr>
        <w:t xml:space="preserve">acilitate </w:t>
      </w:r>
      <w:r w:rsidR="00636BF7">
        <w:rPr>
          <w:rFonts w:cs="Arial"/>
          <w:snapToGrid/>
        </w:rPr>
        <w:t xml:space="preserve">general public’s </w:t>
      </w:r>
      <w:r w:rsidR="00636BF7" w:rsidRPr="00D33B0B">
        <w:rPr>
          <w:rFonts w:cs="Arial"/>
          <w:snapToGrid/>
        </w:rPr>
        <w:t xml:space="preserve">understanding of </w:t>
      </w:r>
      <w:r w:rsidR="00636BF7">
        <w:rPr>
          <w:rFonts w:cs="Arial"/>
          <w:snapToGrid/>
        </w:rPr>
        <w:t>ocean-related issues and serve as a monitoring mechanism for the Decade’s contribution towards its sustainable management</w:t>
      </w:r>
      <w:r w:rsidR="00636BF7" w:rsidRPr="00D33B0B">
        <w:rPr>
          <w:rFonts w:cs="Arial"/>
          <w:snapToGrid/>
        </w:rPr>
        <w:t>.</w:t>
      </w:r>
      <w:r w:rsidR="00636BF7">
        <w:rPr>
          <w:rFonts w:cs="Arial"/>
          <w:snapToGrid/>
        </w:rPr>
        <w:t xml:space="preserve"> </w:t>
      </w:r>
      <w:r w:rsidR="004070E3">
        <w:rPr>
          <w:rFonts w:cs="Arial"/>
          <w:snapToGrid/>
        </w:rPr>
        <w:t xml:space="preserve">A brief </w:t>
      </w:r>
      <w:r w:rsidR="00885E54">
        <w:rPr>
          <w:rFonts w:cs="Arial"/>
          <w:snapToGrid/>
        </w:rPr>
        <w:t xml:space="preserve">preliminary </w:t>
      </w:r>
      <w:r w:rsidR="004070E3">
        <w:rPr>
          <w:rFonts w:cs="Arial"/>
          <w:snapToGrid/>
        </w:rPr>
        <w:t xml:space="preserve">outline of the potential StOR will be presented to the Council. However, </w:t>
      </w:r>
      <w:r w:rsidR="00636BF7">
        <w:rPr>
          <w:rFonts w:cs="Arial"/>
          <w:snapToGrid/>
        </w:rPr>
        <w:t xml:space="preserve">the fully developed proposal </w:t>
      </w:r>
      <w:r w:rsidR="004070E3">
        <w:rPr>
          <w:rFonts w:cs="Arial"/>
          <w:snapToGrid/>
        </w:rPr>
        <w:t>of StOR will be prepared</w:t>
      </w:r>
      <w:r w:rsidR="00885E54">
        <w:rPr>
          <w:rFonts w:cs="Arial"/>
          <w:snapToGrid/>
        </w:rPr>
        <w:t xml:space="preserve">, discussed with the expert community and Member States, </w:t>
      </w:r>
      <w:r w:rsidR="004070E3">
        <w:rPr>
          <w:rFonts w:cs="Arial"/>
          <w:snapToGrid/>
        </w:rPr>
        <w:t xml:space="preserve">and presented </w:t>
      </w:r>
      <w:r w:rsidR="00636BF7">
        <w:rPr>
          <w:rFonts w:cs="Arial"/>
          <w:snapToGrid/>
        </w:rPr>
        <w:t>for consideration by the IOC Assembly at its 31</w:t>
      </w:r>
      <w:r w:rsidR="00636BF7" w:rsidRPr="00383A1D">
        <w:rPr>
          <w:rFonts w:cs="Arial"/>
          <w:snapToGrid/>
          <w:vertAlign w:val="superscript"/>
        </w:rPr>
        <w:t>st</w:t>
      </w:r>
      <w:r w:rsidR="00636BF7">
        <w:rPr>
          <w:rFonts w:cs="Arial"/>
          <w:snapToGrid/>
        </w:rPr>
        <w:t xml:space="preserve"> session.</w:t>
      </w:r>
    </w:p>
    <w:p w14:paraId="7C7CAF6D" w14:textId="482241A5" w:rsidR="006B117D" w:rsidRPr="00CA7AAC" w:rsidRDefault="006B117D" w:rsidP="007B4F94">
      <w:pPr>
        <w:pStyle w:val="Style2"/>
        <w:numPr>
          <w:ilvl w:val="0"/>
          <w:numId w:val="1"/>
        </w:numPr>
        <w:tabs>
          <w:tab w:val="left" w:pos="709"/>
        </w:tabs>
        <w:ind w:left="0" w:firstLine="0"/>
        <w:rPr>
          <w:rFonts w:cs="Arial"/>
        </w:rPr>
      </w:pPr>
      <w:r>
        <w:rPr>
          <w:rFonts w:cs="Arial"/>
          <w:snapToGrid/>
        </w:rPr>
        <w:t>I</w:t>
      </w:r>
      <w:r w:rsidRPr="00CA7AAC">
        <w:rPr>
          <w:rFonts w:cs="Arial"/>
          <w:snapToGrid/>
        </w:rPr>
        <w:t xml:space="preserve">ntensive work on </w:t>
      </w:r>
      <w:r w:rsidR="00636BF7">
        <w:rPr>
          <w:rFonts w:cs="Arial"/>
          <w:snapToGrid/>
        </w:rPr>
        <w:t xml:space="preserve">the </w:t>
      </w:r>
      <w:r w:rsidRPr="00CA7AAC">
        <w:rPr>
          <w:rFonts w:cs="Arial"/>
          <w:snapToGrid/>
        </w:rPr>
        <w:t xml:space="preserve">planning of the </w:t>
      </w:r>
      <w:r>
        <w:rPr>
          <w:rFonts w:cs="Arial"/>
          <w:snapToGrid/>
        </w:rPr>
        <w:t xml:space="preserve">scientific content of the </w:t>
      </w:r>
      <w:r w:rsidRPr="00CA7AAC">
        <w:rPr>
          <w:rFonts w:cs="Arial"/>
          <w:snapToGrid/>
        </w:rPr>
        <w:t xml:space="preserve">Decade </w:t>
      </w:r>
      <w:r>
        <w:rPr>
          <w:rFonts w:cs="Arial"/>
          <w:snapToGrid/>
        </w:rPr>
        <w:t xml:space="preserve">is going on </w:t>
      </w:r>
      <w:r w:rsidRPr="00CA7AAC">
        <w:rPr>
          <w:rFonts w:cs="Arial"/>
          <w:snapToGrid/>
        </w:rPr>
        <w:t>in WESTPAC, IOCARIBE, and IOCAFRICA</w:t>
      </w:r>
      <w:r w:rsidR="00636BF7">
        <w:rPr>
          <w:rFonts w:cs="Arial"/>
          <w:snapToGrid/>
        </w:rPr>
        <w:t>. In this context, the success of</w:t>
      </w:r>
      <w:r w:rsidRPr="00CA7AAC">
        <w:rPr>
          <w:rFonts w:cs="Arial"/>
          <w:snapToGrid/>
        </w:rPr>
        <w:t xml:space="preserve"> the Decade kick-off conference for Africa to be hosted by Egypt</w:t>
      </w:r>
      <w:r w:rsidR="00636BF7">
        <w:rPr>
          <w:rFonts w:cs="Arial"/>
          <w:snapToGrid/>
        </w:rPr>
        <w:t xml:space="preserve"> in 2021 could be an important milestone, with the political commitment of all involved Member States</w:t>
      </w:r>
      <w:r w:rsidRPr="00CA7AAC">
        <w:rPr>
          <w:rFonts w:cs="Arial"/>
          <w:snapToGrid/>
        </w:rPr>
        <w:t>.</w:t>
      </w:r>
      <w:r>
        <w:rPr>
          <w:rFonts w:cs="Arial"/>
          <w:snapToGrid/>
        </w:rPr>
        <w:t xml:space="preserve"> I</w:t>
      </w:r>
      <w:r w:rsidR="0050373C">
        <w:rPr>
          <w:rFonts w:cs="Arial"/>
          <w:snapToGrid/>
        </w:rPr>
        <w:t>O</w:t>
      </w:r>
      <w:r>
        <w:rPr>
          <w:rFonts w:cs="Arial"/>
          <w:snapToGrid/>
        </w:rPr>
        <w:t>C participated in a UNESCO consultation with the African Union</w:t>
      </w:r>
      <w:r w:rsidR="00636BF7">
        <w:rPr>
          <w:rFonts w:cs="Arial"/>
          <w:snapToGrid/>
        </w:rPr>
        <w:t xml:space="preserve">, which allowed to further align objectives and set the context for </w:t>
      </w:r>
      <w:r>
        <w:rPr>
          <w:rFonts w:cs="Arial"/>
          <w:snapToGrid/>
        </w:rPr>
        <w:t>in</w:t>
      </w:r>
      <w:r w:rsidR="00636BF7">
        <w:rPr>
          <w:rFonts w:cs="Arial"/>
          <w:snapToGrid/>
        </w:rPr>
        <w:t>tensified</w:t>
      </w:r>
      <w:r>
        <w:rPr>
          <w:rFonts w:cs="Arial"/>
          <w:snapToGrid/>
        </w:rPr>
        <w:t xml:space="preserve"> cooperation.</w:t>
      </w:r>
    </w:p>
    <w:p w14:paraId="1BD16A6C" w14:textId="38CB3C07" w:rsidR="000B7937" w:rsidRPr="006B117D" w:rsidRDefault="006B117D" w:rsidP="007B4F94">
      <w:pPr>
        <w:pStyle w:val="Style2"/>
        <w:numPr>
          <w:ilvl w:val="0"/>
          <w:numId w:val="1"/>
        </w:numPr>
        <w:tabs>
          <w:tab w:val="left" w:pos="709"/>
        </w:tabs>
        <w:ind w:left="0" w:firstLine="0"/>
        <w:rPr>
          <w:rFonts w:cs="Arial"/>
          <w:snapToGrid/>
        </w:rPr>
      </w:pPr>
      <w:r>
        <w:rPr>
          <w:rFonts w:cs="Arial"/>
          <w:snapToGrid/>
        </w:rPr>
        <w:t>C</w:t>
      </w:r>
      <w:r w:rsidRPr="00E16CC7">
        <w:rPr>
          <w:rFonts w:cs="Arial"/>
          <w:snapToGrid/>
        </w:rPr>
        <w:t>onsultations continu</w:t>
      </w:r>
      <w:r>
        <w:rPr>
          <w:rFonts w:cs="Arial"/>
          <w:snapToGrid/>
        </w:rPr>
        <w:t>e</w:t>
      </w:r>
      <w:r w:rsidR="00636BF7">
        <w:rPr>
          <w:rFonts w:cs="Arial"/>
          <w:snapToGrid/>
        </w:rPr>
        <w:t>d</w:t>
      </w:r>
      <w:r>
        <w:rPr>
          <w:rFonts w:cs="Arial"/>
          <w:snapToGrid/>
        </w:rPr>
        <w:t xml:space="preserve"> between </w:t>
      </w:r>
      <w:r w:rsidRPr="00E16CC7">
        <w:rPr>
          <w:rFonts w:cs="Arial"/>
          <w:snapToGrid/>
        </w:rPr>
        <w:t xml:space="preserve">the IOC Chair, </w:t>
      </w:r>
      <w:r>
        <w:rPr>
          <w:rFonts w:cs="Arial"/>
          <w:snapToGrid/>
        </w:rPr>
        <w:t xml:space="preserve">Executive Secretary, </w:t>
      </w:r>
      <w:r w:rsidRPr="00E16CC7">
        <w:rPr>
          <w:rFonts w:cs="Arial"/>
          <w:snapToGrid/>
        </w:rPr>
        <w:t>the IOC Vice-chair for electoral group IV</w:t>
      </w:r>
      <w:r>
        <w:rPr>
          <w:rFonts w:cs="Arial"/>
          <w:snapToGrid/>
        </w:rPr>
        <w:t xml:space="preserve"> with </w:t>
      </w:r>
      <w:r w:rsidRPr="00E16CC7">
        <w:rPr>
          <w:rFonts w:cs="Arial"/>
          <w:snapToGrid/>
        </w:rPr>
        <w:t xml:space="preserve">the IOCINDIO Chair and Officers regarding the </w:t>
      </w:r>
      <w:r>
        <w:rPr>
          <w:rFonts w:cs="Arial"/>
          <w:snapToGrid/>
        </w:rPr>
        <w:t xml:space="preserve">upgrade </w:t>
      </w:r>
      <w:r w:rsidRPr="00E16CC7">
        <w:rPr>
          <w:rFonts w:cs="Arial"/>
          <w:snapToGrid/>
        </w:rPr>
        <w:t>of IOCINDIO into an IOC sub-commission</w:t>
      </w:r>
      <w:r>
        <w:rPr>
          <w:rFonts w:cs="Arial"/>
          <w:snapToGrid/>
        </w:rPr>
        <w:t>, in line with the corresponding decision of the IOC Assembly</w:t>
      </w:r>
      <w:r w:rsidR="004130B4">
        <w:rPr>
          <w:rFonts w:cs="Arial"/>
          <w:snapToGrid/>
        </w:rPr>
        <w:t xml:space="preserve"> at its 30</w:t>
      </w:r>
      <w:r w:rsidR="004130B4" w:rsidRPr="00404BA6">
        <w:rPr>
          <w:rFonts w:cs="Arial"/>
          <w:snapToGrid/>
          <w:vertAlign w:val="superscript"/>
        </w:rPr>
        <w:t>th</w:t>
      </w:r>
      <w:r w:rsidR="004130B4">
        <w:rPr>
          <w:rFonts w:cs="Arial"/>
          <w:snapToGrid/>
        </w:rPr>
        <w:t xml:space="preserve"> session in 2019.</w:t>
      </w:r>
      <w:r w:rsidRPr="00E16CC7">
        <w:rPr>
          <w:rFonts w:cs="Arial"/>
          <w:snapToGrid/>
        </w:rPr>
        <w:t xml:space="preserve"> </w:t>
      </w:r>
      <w:r>
        <w:rPr>
          <w:rFonts w:cs="Arial"/>
          <w:snapToGrid/>
        </w:rPr>
        <w:t xml:space="preserve">A very important consultation with IOC </w:t>
      </w:r>
      <w:r w:rsidRPr="00E16CC7">
        <w:rPr>
          <w:rFonts w:cs="Arial"/>
          <w:snapToGrid/>
        </w:rPr>
        <w:t>Member States interested in the Indian Oce</w:t>
      </w:r>
      <w:r>
        <w:rPr>
          <w:rFonts w:cs="Arial"/>
          <w:snapToGrid/>
        </w:rPr>
        <w:t xml:space="preserve">an is being planned for the beginning of 2021 </w:t>
      </w:r>
      <w:r w:rsidRPr="00E16CC7">
        <w:rPr>
          <w:rFonts w:cs="Arial"/>
          <w:snapToGrid/>
        </w:rPr>
        <w:t xml:space="preserve">to </w:t>
      </w:r>
      <w:r>
        <w:rPr>
          <w:rFonts w:cs="Arial"/>
          <w:snapToGrid/>
        </w:rPr>
        <w:t xml:space="preserve">discuss the proposal and </w:t>
      </w:r>
      <w:r w:rsidRPr="00E16CC7">
        <w:rPr>
          <w:rFonts w:cs="Arial"/>
          <w:snapToGrid/>
        </w:rPr>
        <w:t xml:space="preserve">seek </w:t>
      </w:r>
      <w:r>
        <w:rPr>
          <w:rFonts w:cs="Arial"/>
          <w:snapToGrid/>
        </w:rPr>
        <w:t xml:space="preserve">their </w:t>
      </w:r>
      <w:r w:rsidRPr="00E16CC7">
        <w:rPr>
          <w:rFonts w:cs="Arial"/>
          <w:snapToGrid/>
        </w:rPr>
        <w:t>engagement</w:t>
      </w:r>
      <w:r>
        <w:rPr>
          <w:rFonts w:cs="Arial"/>
          <w:snapToGrid/>
        </w:rPr>
        <w:t>,</w:t>
      </w:r>
      <w:r w:rsidRPr="00E16CC7">
        <w:rPr>
          <w:rFonts w:cs="Arial"/>
          <w:snapToGrid/>
        </w:rPr>
        <w:t xml:space="preserve"> support</w:t>
      </w:r>
      <w:r>
        <w:rPr>
          <w:rFonts w:cs="Arial"/>
          <w:snapToGrid/>
        </w:rPr>
        <w:t xml:space="preserve"> and commitments. </w:t>
      </w:r>
      <w:r w:rsidR="00636BF7" w:rsidRPr="00D655A6">
        <w:rPr>
          <w:rFonts w:cs="Arial"/>
          <w:snapToGrid/>
        </w:rPr>
        <w:t>To</w:t>
      </w:r>
      <w:r w:rsidR="00636BF7">
        <w:rPr>
          <w:rFonts w:cs="Arial"/>
          <w:snapToGrid/>
        </w:rPr>
        <w:t xml:space="preserve"> </w:t>
      </w:r>
      <w:r w:rsidR="00636BF7" w:rsidRPr="00D655A6">
        <w:rPr>
          <w:rFonts w:cs="Arial"/>
          <w:snapToGrid/>
        </w:rPr>
        <w:t>be truly effective and efficient, t</w:t>
      </w:r>
      <w:r w:rsidR="00636BF7" w:rsidRPr="00D655A6">
        <w:rPr>
          <w:rFonts w:cs="Arial"/>
        </w:rPr>
        <w:t xml:space="preserve">he new sub-commission should offer Member States a wider scope for their participation in regional activities according to their priorities and needs. Its work would also be of interest </w:t>
      </w:r>
      <w:r w:rsidR="00636BF7">
        <w:rPr>
          <w:rFonts w:cs="Arial"/>
        </w:rPr>
        <w:t>and have implications for</w:t>
      </w:r>
      <w:r w:rsidR="00636BF7" w:rsidRPr="00D655A6">
        <w:rPr>
          <w:rFonts w:cs="Arial"/>
        </w:rPr>
        <w:t xml:space="preserve"> some countries of </w:t>
      </w:r>
      <w:r w:rsidR="00636BF7">
        <w:rPr>
          <w:rFonts w:cs="Arial"/>
        </w:rPr>
        <w:t xml:space="preserve">IOCAFRICA </w:t>
      </w:r>
      <w:r w:rsidR="00636BF7" w:rsidRPr="00D655A6">
        <w:rPr>
          <w:rFonts w:cs="Arial"/>
        </w:rPr>
        <w:t>and WESTPAC.</w:t>
      </w:r>
      <w:r w:rsidR="00636BF7">
        <w:rPr>
          <w:rFonts w:cs="Arial"/>
        </w:rPr>
        <w:t xml:space="preserve"> T</w:t>
      </w:r>
      <w:r w:rsidRPr="00E16CC7">
        <w:t>he 8</w:t>
      </w:r>
      <w:r w:rsidRPr="00E16CC7">
        <w:rPr>
          <w:vertAlign w:val="superscript"/>
        </w:rPr>
        <w:t>th</w:t>
      </w:r>
      <w:r w:rsidRPr="00E16CC7">
        <w:t xml:space="preserve"> session of IOCINDIO in the first quarter 2021 </w:t>
      </w:r>
      <w:r>
        <w:t xml:space="preserve">represents </w:t>
      </w:r>
      <w:r w:rsidRPr="00E16CC7">
        <w:t>an opportunity to rally Member States of the entire Indian Ocean rim and beyond</w:t>
      </w:r>
      <w:r>
        <w:t>, solidify the plans, see how the new body could contribute to the Decade and add value to the multiple activities in the region</w:t>
      </w:r>
      <w:r w:rsidRPr="00E16CC7">
        <w:t xml:space="preserve">. </w:t>
      </w:r>
      <w:r>
        <w:t xml:space="preserve">Based on </w:t>
      </w:r>
      <w:r w:rsidR="00636BF7">
        <w:t xml:space="preserve">the </w:t>
      </w:r>
      <w:r>
        <w:t>results of th</w:t>
      </w:r>
      <w:r w:rsidR="00636BF7">
        <w:t>is</w:t>
      </w:r>
      <w:r>
        <w:t xml:space="preserve"> consultation and the </w:t>
      </w:r>
      <w:r w:rsidR="004130B4">
        <w:t xml:space="preserve">regional committee </w:t>
      </w:r>
      <w:r>
        <w:t>session, t</w:t>
      </w:r>
      <w:r w:rsidRPr="00E16CC7">
        <w:t>he fully developed proposal will be presented to the IOC Assembly at its 31</w:t>
      </w:r>
      <w:r w:rsidRPr="00E16CC7">
        <w:rPr>
          <w:vertAlign w:val="superscript"/>
        </w:rPr>
        <w:t>st</w:t>
      </w:r>
      <w:r w:rsidRPr="00E16CC7">
        <w:t xml:space="preserve"> session in June 2021</w:t>
      </w:r>
      <w:r w:rsidR="00636BF7">
        <w:t>,</w:t>
      </w:r>
      <w:r w:rsidRPr="00E16CC7">
        <w:t xml:space="preserve"> for </w:t>
      </w:r>
      <w:r>
        <w:t xml:space="preserve">consideration and </w:t>
      </w:r>
      <w:r w:rsidRPr="00E16CC7">
        <w:t>decision.</w:t>
      </w:r>
    </w:p>
    <w:p w14:paraId="6E31E289" w14:textId="2924CB43" w:rsidR="00FE5602" w:rsidRDefault="006B117D" w:rsidP="007B4F94">
      <w:pPr>
        <w:pStyle w:val="Style2"/>
        <w:numPr>
          <w:ilvl w:val="0"/>
          <w:numId w:val="1"/>
        </w:numPr>
        <w:tabs>
          <w:tab w:val="left" w:pos="709"/>
        </w:tabs>
        <w:ind w:left="0" w:firstLine="0"/>
        <w:rPr>
          <w:rFonts w:cs="Arial"/>
          <w:snapToGrid/>
        </w:rPr>
      </w:pPr>
      <w:r>
        <w:rPr>
          <w:rFonts w:cs="Arial"/>
          <w:snapToGrid/>
        </w:rPr>
        <w:t>In the domain of observations, the community is brainstorming on</w:t>
      </w:r>
      <w:r w:rsidR="00636BF7">
        <w:rPr>
          <w:rFonts w:cs="Arial"/>
          <w:snapToGrid/>
        </w:rPr>
        <w:t xml:space="preserve"> the</w:t>
      </w:r>
      <w:r>
        <w:rPr>
          <w:rFonts w:cs="Arial"/>
          <w:snapToGrid/>
        </w:rPr>
        <w:t xml:space="preserve"> implementation of </w:t>
      </w:r>
      <w:r w:rsidRPr="00E16CC7">
        <w:rPr>
          <w:rFonts w:cs="Arial"/>
          <w:snapToGrid/>
        </w:rPr>
        <w:t xml:space="preserve">the </w:t>
      </w:r>
      <w:r w:rsidRPr="00E16CC7">
        <w:rPr>
          <w:rFonts w:cs="Arial"/>
          <w:i/>
          <w:snapToGrid/>
        </w:rPr>
        <w:t xml:space="preserve">GOOS </w:t>
      </w:r>
      <w:r w:rsidRPr="00383A1D">
        <w:rPr>
          <w:rFonts w:cs="Arial"/>
          <w:i/>
          <w:iCs w:val="0"/>
          <w:snapToGrid/>
        </w:rPr>
        <w:t>2030</w:t>
      </w:r>
      <w:r w:rsidRPr="00E16CC7">
        <w:rPr>
          <w:rFonts w:cs="Arial"/>
          <w:i/>
          <w:snapToGrid/>
        </w:rPr>
        <w:t xml:space="preserve"> Strategy </w:t>
      </w:r>
      <w:r w:rsidRPr="00E16CC7">
        <w:rPr>
          <w:rFonts w:cs="Arial"/>
          <w:snapToGrid/>
        </w:rPr>
        <w:t>(</w:t>
      </w:r>
      <w:hyperlink r:id="rId12" w:history="1">
        <w:r w:rsidRPr="00E16CC7">
          <w:rPr>
            <w:rStyle w:val="Hyperlink"/>
            <w:rFonts w:cs="Arial"/>
            <w:snapToGrid/>
          </w:rPr>
          <w:t>IOC/BRO/2019/5 rev.2</w:t>
        </w:r>
      </w:hyperlink>
      <w:r w:rsidRPr="00E16CC7">
        <w:rPr>
          <w:rFonts w:cs="Arial"/>
          <w:snapToGrid/>
        </w:rPr>
        <w:t>)</w:t>
      </w:r>
      <w:r>
        <w:rPr>
          <w:rFonts w:cs="Arial"/>
          <w:snapToGrid/>
        </w:rPr>
        <w:t xml:space="preserve"> and designing a Decade programme. Expert consultations were held on </w:t>
      </w:r>
      <w:r w:rsidRPr="00E16CC7">
        <w:rPr>
          <w:rFonts w:cs="Arial"/>
        </w:rPr>
        <w:t>potential concerns</w:t>
      </w:r>
      <w:r>
        <w:rPr>
          <w:rFonts w:cs="Arial"/>
        </w:rPr>
        <w:t xml:space="preserve">, </w:t>
      </w:r>
      <w:r w:rsidRPr="00E16CC7">
        <w:rPr>
          <w:rFonts w:cs="Arial"/>
        </w:rPr>
        <w:t>value</w:t>
      </w:r>
      <w:r>
        <w:rPr>
          <w:rFonts w:cs="Arial"/>
        </w:rPr>
        <w:t xml:space="preserve">, </w:t>
      </w:r>
      <w:r w:rsidRPr="00E16CC7">
        <w:rPr>
          <w:rFonts w:cs="Arial"/>
        </w:rPr>
        <w:t xml:space="preserve">impact and solution spaces </w:t>
      </w:r>
      <w:r>
        <w:rPr>
          <w:rFonts w:cs="Arial"/>
        </w:rPr>
        <w:t>for</w:t>
      </w:r>
      <w:r w:rsidRPr="00E16CC7">
        <w:rPr>
          <w:rFonts w:cs="Arial"/>
        </w:rPr>
        <w:t xml:space="preserve"> sustained ocean observations in </w:t>
      </w:r>
      <w:r>
        <w:rPr>
          <w:rFonts w:cs="Arial"/>
        </w:rPr>
        <w:t>E</w:t>
      </w:r>
      <w:r w:rsidRPr="00E16CC7">
        <w:rPr>
          <w:rFonts w:cs="Arial"/>
        </w:rPr>
        <w:t xml:space="preserve">xclusive </w:t>
      </w:r>
      <w:r>
        <w:rPr>
          <w:rFonts w:cs="Arial"/>
        </w:rPr>
        <w:t>E</w:t>
      </w:r>
      <w:r w:rsidRPr="00E16CC7">
        <w:rPr>
          <w:rFonts w:cs="Arial"/>
        </w:rPr>
        <w:t xml:space="preserve">conomic </w:t>
      </w:r>
      <w:r>
        <w:rPr>
          <w:rFonts w:cs="Arial"/>
        </w:rPr>
        <w:t>Z</w:t>
      </w:r>
      <w:r w:rsidRPr="00E16CC7">
        <w:rPr>
          <w:rFonts w:cs="Arial"/>
        </w:rPr>
        <w:t>ones</w:t>
      </w:r>
      <w:r>
        <w:rPr>
          <w:rFonts w:cs="Arial"/>
        </w:rPr>
        <w:t xml:space="preserve">. </w:t>
      </w:r>
      <w:r>
        <w:rPr>
          <w:rFonts w:cs="Arial"/>
          <w:snapToGrid/>
        </w:rPr>
        <w:t>P</w:t>
      </w:r>
      <w:r w:rsidRPr="00E16CC7">
        <w:rPr>
          <w:rFonts w:cs="Arial"/>
          <w:snapToGrid/>
        </w:rPr>
        <w:t xml:space="preserve">rogress </w:t>
      </w:r>
      <w:r>
        <w:rPr>
          <w:rFonts w:cs="Arial"/>
          <w:snapToGrid/>
        </w:rPr>
        <w:t xml:space="preserve">can be reported </w:t>
      </w:r>
      <w:r w:rsidRPr="00E16CC7">
        <w:rPr>
          <w:rFonts w:cs="Arial"/>
          <w:snapToGrid/>
        </w:rPr>
        <w:t xml:space="preserve">in the planning of data and information management through </w:t>
      </w:r>
      <w:r w:rsidR="00EE4D48">
        <w:rPr>
          <w:rFonts w:cs="Arial"/>
          <w:snapToGrid/>
        </w:rPr>
        <w:t xml:space="preserve">the Ocean Data and Information System “Catalogue of </w:t>
      </w:r>
      <w:r w:rsidR="00EE4D48">
        <w:rPr>
          <w:rFonts w:cs="Arial"/>
          <w:snapToGrid/>
        </w:rPr>
        <w:lastRenderedPageBreak/>
        <w:t>Sources” (</w:t>
      </w:r>
      <w:proofErr w:type="spellStart"/>
      <w:r w:rsidRPr="00E16CC7">
        <w:rPr>
          <w:rFonts w:cs="Arial"/>
          <w:snapToGrid/>
        </w:rPr>
        <w:t>ODISCat</w:t>
      </w:r>
      <w:proofErr w:type="spellEnd"/>
      <w:r w:rsidR="00EE4D48">
        <w:rPr>
          <w:rFonts w:cs="Arial"/>
          <w:snapToGrid/>
        </w:rPr>
        <w:t xml:space="preserve">) </w:t>
      </w:r>
      <w:r w:rsidRPr="00E16CC7">
        <w:rPr>
          <w:rFonts w:cs="Arial"/>
          <w:snapToGrid/>
        </w:rPr>
        <w:t xml:space="preserve">and </w:t>
      </w:r>
      <w:r w:rsidR="00EE4D48">
        <w:rPr>
          <w:rFonts w:cs="Arial"/>
          <w:snapToGrid/>
        </w:rPr>
        <w:t xml:space="preserve">the </w:t>
      </w:r>
      <w:proofErr w:type="spellStart"/>
      <w:r w:rsidRPr="00E16CC7">
        <w:rPr>
          <w:rFonts w:cs="Arial"/>
          <w:snapToGrid/>
        </w:rPr>
        <w:t>OceanInfoHub</w:t>
      </w:r>
      <w:proofErr w:type="spellEnd"/>
      <w:r w:rsidR="00EE4D48">
        <w:rPr>
          <w:rFonts w:cs="Arial"/>
          <w:snapToGrid/>
        </w:rPr>
        <w:t xml:space="preserve"> Project</w:t>
      </w:r>
      <w:r>
        <w:rPr>
          <w:rFonts w:cs="Arial"/>
          <w:snapToGrid/>
        </w:rPr>
        <w:t xml:space="preserve">. </w:t>
      </w:r>
      <w:r w:rsidR="00EE4D48">
        <w:rPr>
          <w:rFonts w:cs="Arial"/>
          <w:snapToGrid/>
        </w:rPr>
        <w:t xml:space="preserve">The </w:t>
      </w:r>
      <w:r w:rsidR="00EE4D48" w:rsidRPr="00EE4D48">
        <w:rPr>
          <w:rFonts w:cs="Arial"/>
          <w:snapToGrid/>
        </w:rPr>
        <w:t>Ocean Biodiversity Information System</w:t>
      </w:r>
      <w:r w:rsidR="00EE4D48">
        <w:rPr>
          <w:rFonts w:cs="Arial"/>
          <w:snapToGrid/>
        </w:rPr>
        <w:t xml:space="preserve"> (</w:t>
      </w:r>
      <w:r>
        <w:rPr>
          <w:rFonts w:cs="Arial"/>
          <w:snapToGrid/>
        </w:rPr>
        <w:t>OBIS</w:t>
      </w:r>
      <w:r w:rsidR="00EE4D48">
        <w:rPr>
          <w:rFonts w:cs="Arial"/>
          <w:snapToGrid/>
        </w:rPr>
        <w:t>)</w:t>
      </w:r>
      <w:r>
        <w:rPr>
          <w:rFonts w:cs="Arial"/>
          <w:snapToGrid/>
        </w:rPr>
        <w:t xml:space="preserve"> </w:t>
      </w:r>
      <w:r w:rsidRPr="00E16CC7">
        <w:rPr>
          <w:rFonts w:cs="Arial"/>
          <w:snapToGrid/>
        </w:rPr>
        <w:t>continu</w:t>
      </w:r>
      <w:r>
        <w:rPr>
          <w:rFonts w:cs="Arial"/>
          <w:snapToGrid/>
        </w:rPr>
        <w:t xml:space="preserve">es to </w:t>
      </w:r>
      <w:r w:rsidRPr="00E16CC7">
        <w:rPr>
          <w:rFonts w:cs="Arial"/>
          <w:snapToGrid/>
        </w:rPr>
        <w:t>expan</w:t>
      </w:r>
      <w:r>
        <w:rPr>
          <w:rFonts w:cs="Arial"/>
          <w:snapToGrid/>
        </w:rPr>
        <w:t xml:space="preserve">d. </w:t>
      </w:r>
      <w:r w:rsidRPr="00FE5602">
        <w:rPr>
          <w:rFonts w:cs="Arial"/>
          <w:snapToGrid/>
        </w:rPr>
        <w:t xml:space="preserve">There </w:t>
      </w:r>
      <w:r w:rsidR="00FE5602" w:rsidRPr="00FE5602">
        <w:rPr>
          <w:rFonts w:cs="Arial"/>
          <w:snapToGrid/>
        </w:rPr>
        <w:t xml:space="preserve">are </w:t>
      </w:r>
      <w:r w:rsidRPr="00FE5602">
        <w:rPr>
          <w:rFonts w:cs="Arial"/>
          <w:snapToGrid/>
        </w:rPr>
        <w:t>major advances in research coordination with regard to ocean carbon</w:t>
      </w:r>
      <w:r w:rsidR="00FE5602" w:rsidRPr="00FE5602">
        <w:rPr>
          <w:rFonts w:cs="Arial"/>
          <w:snapToGrid/>
        </w:rPr>
        <w:t>. T</w:t>
      </w:r>
      <w:r w:rsidRPr="00FE5602">
        <w:rPr>
          <w:rFonts w:cs="Arial"/>
          <w:snapToGrid/>
        </w:rPr>
        <w:t xml:space="preserve">he </w:t>
      </w:r>
      <w:r w:rsidRPr="00383A1D">
        <w:rPr>
          <w:rFonts w:cs="Arial"/>
          <w:i/>
          <w:snapToGrid/>
        </w:rPr>
        <w:t>Global Ocean Science Report 2020</w:t>
      </w:r>
      <w:r w:rsidR="00FE5602" w:rsidRPr="00FE5602">
        <w:rPr>
          <w:rFonts w:cs="Arial"/>
          <w:snapToGrid/>
        </w:rPr>
        <w:t xml:space="preserve"> </w:t>
      </w:r>
      <w:r w:rsidR="00FE5602">
        <w:rPr>
          <w:rFonts w:cs="Arial"/>
          <w:snapToGrid/>
        </w:rPr>
        <w:t xml:space="preserve">will be </w:t>
      </w:r>
      <w:r w:rsidRPr="00E16CC7">
        <w:rPr>
          <w:rFonts w:cs="Arial"/>
          <w:snapToGrid/>
        </w:rPr>
        <w:t>launched on 14 December 2020</w:t>
      </w:r>
      <w:r w:rsidR="00FE5602">
        <w:rPr>
          <w:rFonts w:cs="Arial"/>
          <w:snapToGrid/>
        </w:rPr>
        <w:t>. Activ</w:t>
      </w:r>
      <w:r w:rsidR="0050373C">
        <w:rPr>
          <w:rFonts w:cs="Arial"/>
          <w:snapToGrid/>
        </w:rPr>
        <w:t xml:space="preserve">e </w:t>
      </w:r>
      <w:r w:rsidRPr="00E16CC7">
        <w:rPr>
          <w:rFonts w:cs="Arial"/>
          <w:snapToGrid/>
        </w:rPr>
        <w:t xml:space="preserve">work </w:t>
      </w:r>
      <w:r w:rsidR="0050373C">
        <w:rPr>
          <w:rFonts w:cs="Arial"/>
          <w:snapToGrid/>
        </w:rPr>
        <w:t xml:space="preserve">continues </w:t>
      </w:r>
      <w:r w:rsidRPr="00E16CC7">
        <w:rPr>
          <w:rFonts w:cs="Arial"/>
          <w:snapToGrid/>
        </w:rPr>
        <w:t>on ocean acidification, deoxygenation, harmful algal blooms, long-time series</w:t>
      </w:r>
      <w:r w:rsidR="00FE5602">
        <w:rPr>
          <w:rFonts w:cs="Arial"/>
          <w:snapToGrid/>
        </w:rPr>
        <w:t xml:space="preserve">. The IOC-cosponsored </w:t>
      </w:r>
      <w:r w:rsidR="00FE5602" w:rsidRPr="00E16CC7">
        <w:rPr>
          <w:rFonts w:cs="Arial"/>
          <w:snapToGrid/>
        </w:rPr>
        <w:t xml:space="preserve">World Climate Research Programme (WCRP) </w:t>
      </w:r>
      <w:r w:rsidR="00FE5602">
        <w:rPr>
          <w:rFonts w:cs="Arial"/>
          <w:snapToGrid/>
        </w:rPr>
        <w:t>is moving towards a very ambitious programme of work</w:t>
      </w:r>
      <w:r w:rsidR="00636BF7">
        <w:rPr>
          <w:rFonts w:cs="Arial"/>
          <w:snapToGrid/>
        </w:rPr>
        <w:t>,</w:t>
      </w:r>
      <w:r w:rsidR="00FE5602">
        <w:rPr>
          <w:rFonts w:cs="Arial"/>
          <w:snapToGrid/>
        </w:rPr>
        <w:t xml:space="preserve"> including </w:t>
      </w:r>
      <w:r w:rsidR="00FE5602" w:rsidRPr="00E16CC7">
        <w:rPr>
          <w:rFonts w:cs="Arial"/>
          <w:snapToGrid/>
        </w:rPr>
        <w:t>research on ocean and climate</w:t>
      </w:r>
      <w:r w:rsidR="00FE5602">
        <w:rPr>
          <w:rFonts w:cs="Arial"/>
          <w:snapToGrid/>
        </w:rPr>
        <w:t xml:space="preserve">. The IOC tsunami programme </w:t>
      </w:r>
      <w:r w:rsidRPr="00E16CC7">
        <w:rPr>
          <w:rFonts w:cs="Arial"/>
          <w:snapToGrid/>
        </w:rPr>
        <w:t>expand</w:t>
      </w:r>
      <w:r w:rsidR="00FE5602">
        <w:rPr>
          <w:rFonts w:cs="Arial"/>
          <w:snapToGrid/>
        </w:rPr>
        <w:t>s the</w:t>
      </w:r>
      <w:r w:rsidRPr="00E16CC7">
        <w:rPr>
          <w:rFonts w:cs="Arial"/>
          <w:snapToGrid/>
        </w:rPr>
        <w:t xml:space="preserve"> work on tsunami preparedness and </w:t>
      </w:r>
      <w:r w:rsidR="00FE5602">
        <w:rPr>
          <w:rFonts w:cs="Arial"/>
          <w:snapToGrid/>
        </w:rPr>
        <w:t>develop</w:t>
      </w:r>
      <w:r w:rsidR="004641E7">
        <w:rPr>
          <w:rFonts w:cs="Arial"/>
          <w:snapToGrid/>
        </w:rPr>
        <w:t>s</w:t>
      </w:r>
      <w:r w:rsidR="00FE5602">
        <w:rPr>
          <w:rFonts w:cs="Arial"/>
          <w:snapToGrid/>
        </w:rPr>
        <w:t xml:space="preserve"> </w:t>
      </w:r>
      <w:r w:rsidRPr="00E16CC7">
        <w:rPr>
          <w:rFonts w:cs="Arial"/>
          <w:snapToGrid/>
        </w:rPr>
        <w:t>new service providers</w:t>
      </w:r>
      <w:r w:rsidR="00FE5602">
        <w:rPr>
          <w:rFonts w:cs="Arial"/>
          <w:snapToGrid/>
        </w:rPr>
        <w:t xml:space="preserve">. The World Tsunami Awareness Day of 5 November 2020 was truly global and </w:t>
      </w:r>
      <w:r w:rsidR="00636BF7">
        <w:rPr>
          <w:rFonts w:cs="Arial"/>
          <w:snapToGrid/>
        </w:rPr>
        <w:t>the participation of the Director-General of UNESCO helped raise the Organization’s visibility</w:t>
      </w:r>
      <w:r w:rsidR="004130B4">
        <w:rPr>
          <w:rFonts w:cs="Arial"/>
          <w:snapToGrid/>
        </w:rPr>
        <w:t xml:space="preserve"> on this occasion</w:t>
      </w:r>
      <w:r w:rsidR="00636BF7">
        <w:rPr>
          <w:rFonts w:cs="Arial"/>
          <w:snapToGrid/>
        </w:rPr>
        <w:t>.</w:t>
      </w:r>
      <w:r w:rsidR="00FE5602">
        <w:rPr>
          <w:rFonts w:cs="Arial"/>
          <w:snapToGrid/>
        </w:rPr>
        <w:t xml:space="preserve"> There is </w:t>
      </w:r>
      <w:r w:rsidR="00636BF7">
        <w:rPr>
          <w:rFonts w:cs="Arial"/>
          <w:snapToGrid/>
        </w:rPr>
        <w:t xml:space="preserve">a </w:t>
      </w:r>
      <w:r w:rsidR="00FE5602">
        <w:rPr>
          <w:rFonts w:cs="Arial"/>
          <w:snapToGrid/>
        </w:rPr>
        <w:t xml:space="preserve">continuous </w:t>
      </w:r>
      <w:r w:rsidR="00FE5602" w:rsidRPr="00E16CC7">
        <w:rPr>
          <w:rFonts w:cs="Arial"/>
          <w:snapToGrid/>
        </w:rPr>
        <w:t xml:space="preserve">progress in the development </w:t>
      </w:r>
      <w:r w:rsidR="00FE5602">
        <w:rPr>
          <w:rFonts w:cs="Arial"/>
          <w:snapToGrid/>
        </w:rPr>
        <w:t xml:space="preserve">and application of </w:t>
      </w:r>
      <w:r w:rsidR="00FE5602" w:rsidRPr="00E16CC7">
        <w:rPr>
          <w:rFonts w:cs="Arial"/>
          <w:snapToGrid/>
        </w:rPr>
        <w:t>the methodology to support Member States’ implementation of and reporting on the two SDG target indicators 14.3.1 and 14.a, for which the IOC has the custodianship role</w:t>
      </w:r>
      <w:r w:rsidR="00FE5602">
        <w:rPr>
          <w:rFonts w:cs="Arial"/>
          <w:snapToGrid/>
        </w:rPr>
        <w:t xml:space="preserve"> in the UN system</w:t>
      </w:r>
      <w:r w:rsidR="00FE5602" w:rsidRPr="00E16CC7">
        <w:rPr>
          <w:rFonts w:cs="Arial"/>
          <w:snapToGrid/>
        </w:rPr>
        <w:t>.</w:t>
      </w:r>
      <w:r w:rsidR="00FE5602">
        <w:rPr>
          <w:rFonts w:cs="Arial"/>
          <w:snapToGrid/>
        </w:rPr>
        <w:t xml:space="preserve"> Very active and productive work goes on in the expansion of the </w:t>
      </w:r>
      <w:r w:rsidR="00FE5602" w:rsidRPr="00E16CC7">
        <w:rPr>
          <w:rFonts w:cs="Arial"/>
          <w:snapToGrid/>
        </w:rPr>
        <w:t>maritime spatial planning</w:t>
      </w:r>
      <w:r w:rsidR="00FE5602">
        <w:rPr>
          <w:rFonts w:cs="Arial"/>
          <w:snapToGrid/>
        </w:rPr>
        <w:t xml:space="preserve">, </w:t>
      </w:r>
      <w:r w:rsidR="00FE5602" w:rsidRPr="00E16CC7">
        <w:rPr>
          <w:rFonts w:cs="Arial"/>
          <w:snapToGrid/>
        </w:rPr>
        <w:t>preparations for the new phase of the Ocean Teacher Global Academy</w:t>
      </w:r>
      <w:r w:rsidR="00FE5602">
        <w:rPr>
          <w:rFonts w:cs="Arial"/>
          <w:snapToGrid/>
        </w:rPr>
        <w:t xml:space="preserve"> and in the domain of ocean literacy. </w:t>
      </w:r>
      <w:r w:rsidR="008A3ECC">
        <w:rPr>
          <w:rFonts w:cs="Arial"/>
          <w:snapToGrid/>
        </w:rPr>
        <w:t>T</w:t>
      </w:r>
      <w:r w:rsidR="008A3ECC" w:rsidRPr="00E16CC7">
        <w:rPr>
          <w:rFonts w:cs="Arial"/>
          <w:snapToGrid/>
        </w:rPr>
        <w:t>he IOC Regular Working Group on User Requirements and Contributions to GEBCO Products has been formed</w:t>
      </w:r>
      <w:r w:rsidR="008A3ECC">
        <w:rPr>
          <w:rFonts w:cs="Arial"/>
          <w:snapToGrid/>
        </w:rPr>
        <w:t>.</w:t>
      </w:r>
    </w:p>
    <w:p w14:paraId="5DCF9A0B" w14:textId="45DF1532" w:rsidR="002964EF" w:rsidRPr="00E16CC7" w:rsidRDefault="008A3ECC" w:rsidP="007B4F94">
      <w:pPr>
        <w:pStyle w:val="Style2"/>
        <w:numPr>
          <w:ilvl w:val="0"/>
          <w:numId w:val="1"/>
        </w:numPr>
        <w:tabs>
          <w:tab w:val="left" w:pos="709"/>
        </w:tabs>
        <w:ind w:left="0" w:firstLine="0"/>
        <w:rPr>
          <w:rFonts w:cs="Arial"/>
          <w:snapToGrid/>
        </w:rPr>
      </w:pPr>
      <w:r>
        <w:rPr>
          <w:rFonts w:cs="Arial"/>
          <w:snapToGrid/>
        </w:rPr>
        <w:t>The impact of Covid-19 on the work of IOC was significant but it did not discourage the team. D</w:t>
      </w:r>
      <w:r w:rsidRPr="00E16CC7">
        <w:rPr>
          <w:rFonts w:cs="Arial"/>
          <w:snapToGrid/>
        </w:rPr>
        <w:t xml:space="preserve">ue to the cancellation or postponement of many important events </w:t>
      </w:r>
      <w:r w:rsidR="004130B4">
        <w:rPr>
          <w:rFonts w:cs="Arial"/>
          <w:snapToGrid/>
        </w:rPr>
        <w:t>–</w:t>
      </w:r>
      <w:r w:rsidRPr="00E16CC7">
        <w:rPr>
          <w:rFonts w:cs="Arial"/>
          <w:snapToGrid/>
        </w:rPr>
        <w:t xml:space="preserve"> including the “2020 UN Ocean Conference” </w:t>
      </w:r>
      <w:r w:rsidR="004130B4">
        <w:rPr>
          <w:rFonts w:cs="Arial"/>
          <w:snapToGrid/>
        </w:rPr>
        <w:t>–</w:t>
      </w:r>
      <w:r w:rsidRPr="00E16CC7">
        <w:rPr>
          <w:rFonts w:cs="Arial"/>
          <w:snapToGrid/>
        </w:rPr>
        <w:t xml:space="preserve"> the Secretariat explore</w:t>
      </w:r>
      <w:r w:rsidR="002964EF">
        <w:rPr>
          <w:rFonts w:cs="Arial"/>
          <w:snapToGrid/>
        </w:rPr>
        <w:t>d</w:t>
      </w:r>
      <w:r w:rsidRPr="00E16CC7">
        <w:rPr>
          <w:rFonts w:cs="Arial"/>
          <w:snapToGrid/>
        </w:rPr>
        <w:t xml:space="preserve"> alternative approaches to the launch of the Draft Implementation Plan for the Decade and the 2nd edition of the </w:t>
      </w:r>
      <w:r w:rsidRPr="00E16CC7">
        <w:rPr>
          <w:rFonts w:cs="Arial"/>
          <w:i/>
          <w:snapToGrid/>
        </w:rPr>
        <w:t xml:space="preserve">Global Ocean Science Report </w:t>
      </w:r>
      <w:r w:rsidRPr="00E16CC7">
        <w:rPr>
          <w:rFonts w:cs="Arial"/>
          <w:iCs w:val="0"/>
          <w:snapToGrid/>
        </w:rPr>
        <w:t>(GOSR)</w:t>
      </w:r>
      <w:r w:rsidR="006A64DA">
        <w:rPr>
          <w:rFonts w:cs="Arial"/>
          <w:iCs w:val="0"/>
          <w:snapToGrid/>
        </w:rPr>
        <w:t xml:space="preserve"> on the occasion of the Commission’s </w:t>
      </w:r>
      <w:hyperlink r:id="rId13" w:history="1">
        <w:r w:rsidR="006A64DA" w:rsidRPr="00EE4D48">
          <w:rPr>
            <w:rStyle w:val="Hyperlink"/>
            <w:rFonts w:cs="Arial"/>
            <w:iCs w:val="0"/>
            <w:snapToGrid/>
          </w:rPr>
          <w:t>60</w:t>
        </w:r>
        <w:r w:rsidR="006A64DA" w:rsidRPr="00383A1D">
          <w:rPr>
            <w:rStyle w:val="Hyperlink"/>
            <w:rFonts w:cs="Arial"/>
            <w:iCs w:val="0"/>
            <w:snapToGrid/>
            <w:vertAlign w:val="superscript"/>
          </w:rPr>
          <w:t>th</w:t>
        </w:r>
        <w:r w:rsidR="006A64DA" w:rsidRPr="00EE4D48">
          <w:rPr>
            <w:rStyle w:val="Hyperlink"/>
            <w:rFonts w:cs="Arial"/>
            <w:iCs w:val="0"/>
            <w:snapToGrid/>
          </w:rPr>
          <w:t xml:space="preserve"> anniversary celebrations</w:t>
        </w:r>
      </w:hyperlink>
      <w:r w:rsidR="006A64DA">
        <w:rPr>
          <w:rFonts w:cs="Arial"/>
          <w:iCs w:val="0"/>
          <w:snapToGrid/>
        </w:rPr>
        <w:t xml:space="preserve"> on 14 December 2020.</w:t>
      </w:r>
      <w:r w:rsidRPr="00E16CC7">
        <w:rPr>
          <w:rFonts w:cs="Arial"/>
          <w:snapToGrid/>
        </w:rPr>
        <w:t xml:space="preserve"> </w:t>
      </w:r>
      <w:r>
        <w:rPr>
          <w:rFonts w:cs="Arial"/>
          <w:snapToGrid/>
        </w:rPr>
        <w:t>I</w:t>
      </w:r>
      <w:r w:rsidRPr="00E16CC7">
        <w:rPr>
          <w:rFonts w:cs="Arial"/>
          <w:snapToGrid/>
        </w:rPr>
        <w:t xml:space="preserve">mplementation of the Commission’s programme in 2020 experienced some difficulties and delays, similar to all </w:t>
      </w:r>
      <w:r w:rsidR="002964EF">
        <w:rPr>
          <w:rFonts w:cs="Arial"/>
          <w:snapToGrid/>
        </w:rPr>
        <w:t xml:space="preserve">sectors </w:t>
      </w:r>
      <w:r w:rsidRPr="00E16CC7">
        <w:rPr>
          <w:rFonts w:cs="Arial"/>
          <w:snapToGrid/>
        </w:rPr>
        <w:t>of UNESCO, but the Secretariat actively assess</w:t>
      </w:r>
      <w:r w:rsidR="002964EF">
        <w:rPr>
          <w:rFonts w:cs="Arial"/>
          <w:snapToGrid/>
        </w:rPr>
        <w:t>ed</w:t>
      </w:r>
      <w:r w:rsidRPr="00E16CC7">
        <w:rPr>
          <w:rFonts w:cs="Arial"/>
          <w:snapToGrid/>
        </w:rPr>
        <w:t xml:space="preserve"> the influence of the pandemic on IOC’s areas of competence</w:t>
      </w:r>
      <w:r w:rsidR="002964EF">
        <w:rPr>
          <w:rFonts w:cs="Arial"/>
          <w:snapToGrid/>
        </w:rPr>
        <w:t xml:space="preserve"> and </w:t>
      </w:r>
      <w:r w:rsidR="002964EF" w:rsidRPr="00E16CC7">
        <w:rPr>
          <w:rFonts w:cs="Arial"/>
          <w:snapToGrid/>
        </w:rPr>
        <w:t>look</w:t>
      </w:r>
      <w:r w:rsidR="002964EF">
        <w:rPr>
          <w:rFonts w:cs="Arial"/>
          <w:snapToGrid/>
        </w:rPr>
        <w:t>ed</w:t>
      </w:r>
      <w:r w:rsidR="002964EF" w:rsidRPr="00E16CC7">
        <w:rPr>
          <w:rFonts w:cs="Arial"/>
          <w:snapToGrid/>
        </w:rPr>
        <w:t xml:space="preserve"> for solutions</w:t>
      </w:r>
      <w:r w:rsidR="002964EF">
        <w:rPr>
          <w:rFonts w:cs="Arial"/>
          <w:snapToGrid/>
        </w:rPr>
        <w:t>. S</w:t>
      </w:r>
      <w:r w:rsidRPr="00E16CC7">
        <w:rPr>
          <w:rFonts w:cs="Arial"/>
          <w:snapToGrid/>
        </w:rPr>
        <w:t xml:space="preserve">urveys and assessments of impact on ocean observation and tsunami warning </w:t>
      </w:r>
      <w:r w:rsidR="002964EF">
        <w:rPr>
          <w:rFonts w:cs="Arial"/>
          <w:snapToGrid/>
        </w:rPr>
        <w:t>and evacuation procedures were conducted. T</w:t>
      </w:r>
      <w:r w:rsidRPr="00E16CC7">
        <w:rPr>
          <w:rFonts w:cs="Arial"/>
          <w:snapToGrid/>
        </w:rPr>
        <w:t>he longer-term effect on investment in ocean sciences and Member States capacities to achieve the SDG target 14.a</w:t>
      </w:r>
      <w:r w:rsidR="002964EF">
        <w:rPr>
          <w:rFonts w:cs="Arial"/>
          <w:snapToGrid/>
        </w:rPr>
        <w:t xml:space="preserve"> will be </w:t>
      </w:r>
      <w:r w:rsidRPr="00E16CC7">
        <w:rPr>
          <w:rFonts w:cs="Arial"/>
          <w:snapToGrid/>
        </w:rPr>
        <w:t xml:space="preserve">measured through </w:t>
      </w:r>
      <w:r w:rsidR="002964EF">
        <w:rPr>
          <w:rFonts w:cs="Arial"/>
          <w:snapToGrid/>
        </w:rPr>
        <w:t xml:space="preserve">the </w:t>
      </w:r>
      <w:r w:rsidRPr="00E16CC7">
        <w:rPr>
          <w:rFonts w:cs="Arial"/>
          <w:snapToGrid/>
        </w:rPr>
        <w:t>GOSR</w:t>
      </w:r>
      <w:r w:rsidR="002964EF">
        <w:rPr>
          <w:rFonts w:cs="Arial"/>
          <w:snapToGrid/>
        </w:rPr>
        <w:t xml:space="preserve"> process</w:t>
      </w:r>
      <w:r w:rsidRPr="00E16CC7">
        <w:rPr>
          <w:rFonts w:cs="Arial"/>
          <w:snapToGrid/>
        </w:rPr>
        <w:t>.</w:t>
      </w:r>
      <w:r w:rsidR="002964EF">
        <w:rPr>
          <w:rFonts w:cs="Arial"/>
          <w:snapToGrid/>
        </w:rPr>
        <w:t xml:space="preserve"> Overall, t</w:t>
      </w:r>
      <w:r w:rsidR="002964EF" w:rsidRPr="00E16CC7">
        <w:rPr>
          <w:rFonts w:cs="Arial"/>
          <w:snapToGrid/>
        </w:rPr>
        <w:t xml:space="preserve">he Secretariat implemented 2018–2019 workplans in accordance with the budgetary allocations and resource mobilization targets approved by the IOC Executive Council’s </w:t>
      </w:r>
      <w:hyperlink r:id="rId14" w:history="1">
        <w:r w:rsidR="002964EF" w:rsidRPr="00E16CC7">
          <w:rPr>
            <w:rFonts w:cs="Arial"/>
            <w:snapToGrid/>
            <w:color w:val="0000FF"/>
            <w:u w:val="single"/>
          </w:rPr>
          <w:t>Resolution EC-LI.2</w:t>
        </w:r>
      </w:hyperlink>
      <w:r w:rsidR="002964EF" w:rsidRPr="00E16CC7">
        <w:rPr>
          <w:rFonts w:cs="Arial"/>
          <w:snapToGrid/>
        </w:rPr>
        <w:t xml:space="preserve"> and developed 2020–2021 workplans in accordance with </w:t>
      </w:r>
      <w:hyperlink r:id="rId15" w:anchor="%5B%7B%22num%22%3A196%2C%22gen%22%3A0%7D%2C%7B%22name%22%3A%22XYZ%22%7D%2C54%2C648%2C0%5D" w:history="1">
        <w:r w:rsidR="002964EF" w:rsidRPr="00E16CC7">
          <w:rPr>
            <w:rStyle w:val="Hyperlink"/>
            <w:rFonts w:cs="Arial"/>
            <w:snapToGrid/>
          </w:rPr>
          <w:t>Resolution XXX-3</w:t>
        </w:r>
      </w:hyperlink>
      <w:r w:rsidR="002964EF" w:rsidRPr="00E16CC7">
        <w:rPr>
          <w:rFonts w:cs="Arial"/>
          <w:snapToGrid/>
        </w:rPr>
        <w:t>, as presented in document IOC/EC-53/3.1(2).</w:t>
      </w:r>
    </w:p>
    <w:p w14:paraId="1C138789" w14:textId="0F20160B" w:rsidR="00C247AB" w:rsidRPr="00E16CC7" w:rsidRDefault="00ED58D1" w:rsidP="007B4F94">
      <w:pPr>
        <w:pStyle w:val="Heading1"/>
        <w:tabs>
          <w:tab w:val="left" w:pos="709"/>
        </w:tabs>
        <w:adjustRightInd w:val="0"/>
        <w:snapToGrid w:val="0"/>
        <w:spacing w:before="0" w:after="240" w:line="240" w:lineRule="auto"/>
        <w:rPr>
          <w:rFonts w:ascii="Arial" w:eastAsia="Verdana" w:hAnsi="Arial" w:cs="Arial"/>
          <w:b/>
          <w:bCs/>
          <w:color w:val="auto"/>
          <w:kern w:val="28"/>
          <w:sz w:val="22"/>
          <w:szCs w:val="22"/>
          <w:lang w:eastAsia="zh-TW"/>
        </w:rPr>
      </w:pPr>
      <w:r>
        <w:rPr>
          <w:rFonts w:ascii="Arial" w:eastAsia="Verdana" w:hAnsi="Arial" w:cs="Arial"/>
          <w:b/>
          <w:bCs/>
          <w:color w:val="auto"/>
          <w:kern w:val="28"/>
          <w:sz w:val="22"/>
          <w:szCs w:val="22"/>
          <w:lang w:eastAsia="zh-TW"/>
        </w:rPr>
        <w:t xml:space="preserve">Challenges and </w:t>
      </w:r>
      <w:r w:rsidR="00C247AB">
        <w:rPr>
          <w:rFonts w:ascii="Arial" w:eastAsia="Verdana" w:hAnsi="Arial" w:cs="Arial"/>
          <w:b/>
          <w:bCs/>
          <w:color w:val="auto"/>
          <w:kern w:val="28"/>
          <w:sz w:val="22"/>
          <w:szCs w:val="22"/>
          <w:lang w:eastAsia="zh-TW"/>
        </w:rPr>
        <w:t>perspectives</w:t>
      </w:r>
    </w:p>
    <w:p w14:paraId="0F5377B2" w14:textId="789788E7" w:rsidR="00C247AB" w:rsidRDefault="00C247AB" w:rsidP="007B4F94">
      <w:pPr>
        <w:pStyle w:val="Style2"/>
        <w:numPr>
          <w:ilvl w:val="0"/>
          <w:numId w:val="1"/>
        </w:numPr>
        <w:tabs>
          <w:tab w:val="left" w:pos="709"/>
        </w:tabs>
        <w:ind w:left="0" w:firstLine="0"/>
        <w:rPr>
          <w:rFonts w:cs="Arial"/>
          <w:snapToGrid/>
        </w:rPr>
      </w:pPr>
      <w:r>
        <w:rPr>
          <w:rFonts w:cs="Arial"/>
          <w:snapToGrid/>
        </w:rPr>
        <w:t xml:space="preserve">Ocean management, ocean and climate, marine biodiversity </w:t>
      </w:r>
      <w:r w:rsidR="008A3ECC">
        <w:rPr>
          <w:rFonts w:cs="Arial"/>
          <w:snapToGrid/>
        </w:rPr>
        <w:t xml:space="preserve">and </w:t>
      </w:r>
      <w:r>
        <w:rPr>
          <w:rFonts w:cs="Arial"/>
          <w:snapToGrid/>
        </w:rPr>
        <w:t xml:space="preserve">sustainable ocean economy are </w:t>
      </w:r>
      <w:r w:rsidR="00C838F8">
        <w:rPr>
          <w:rFonts w:cs="Arial"/>
          <w:snapToGrid/>
        </w:rPr>
        <w:t>among the main</w:t>
      </w:r>
      <w:r>
        <w:rPr>
          <w:rFonts w:cs="Arial"/>
          <w:snapToGrid/>
        </w:rPr>
        <w:t xml:space="preserve"> avenues in the current thinking about the future of the ocean. </w:t>
      </w:r>
    </w:p>
    <w:p w14:paraId="7ED2BE6A" w14:textId="62BF3F59" w:rsidR="006B117D" w:rsidRPr="005A17E9" w:rsidRDefault="00C247AB" w:rsidP="007B4F94">
      <w:pPr>
        <w:pStyle w:val="Style2"/>
        <w:numPr>
          <w:ilvl w:val="0"/>
          <w:numId w:val="1"/>
        </w:numPr>
        <w:tabs>
          <w:tab w:val="left" w:pos="709"/>
        </w:tabs>
        <w:ind w:left="0" w:firstLine="0"/>
        <w:rPr>
          <w:rFonts w:cs="Arial"/>
          <w:snapToGrid/>
        </w:rPr>
      </w:pPr>
      <w:r>
        <w:rPr>
          <w:rFonts w:cs="Arial"/>
          <w:snapToGrid/>
        </w:rPr>
        <w:t>IOC</w:t>
      </w:r>
      <w:r w:rsidR="00ED58D1">
        <w:rPr>
          <w:rFonts w:cs="Arial"/>
          <w:snapToGrid/>
        </w:rPr>
        <w:t>-</w:t>
      </w:r>
      <w:r>
        <w:rPr>
          <w:rFonts w:cs="Arial"/>
          <w:snapToGrid/>
        </w:rPr>
        <w:t xml:space="preserve">affiliated experts </w:t>
      </w:r>
      <w:r w:rsidR="006B117D" w:rsidRPr="00E16CC7">
        <w:rPr>
          <w:rFonts w:cs="Arial"/>
          <w:snapToGrid/>
        </w:rPr>
        <w:t>contribut</w:t>
      </w:r>
      <w:r>
        <w:rPr>
          <w:rFonts w:cs="Arial"/>
          <w:snapToGrid/>
        </w:rPr>
        <w:t>ed</w:t>
      </w:r>
      <w:r w:rsidR="006B117D" w:rsidRPr="00E16CC7">
        <w:rPr>
          <w:rFonts w:cs="Arial"/>
          <w:snapToGrid/>
        </w:rPr>
        <w:t xml:space="preserve"> to the </w:t>
      </w:r>
      <w:r w:rsidR="006B117D" w:rsidRPr="00C247AB">
        <w:rPr>
          <w:rFonts w:cs="Arial"/>
          <w:snapToGrid/>
        </w:rPr>
        <w:t xml:space="preserve">IPCC </w:t>
      </w:r>
      <w:r w:rsidR="005E78DB" w:rsidRPr="00383A1D">
        <w:rPr>
          <w:i/>
          <w:iCs w:val="0"/>
        </w:rPr>
        <w:t>Special Report on Ocean and Cryosphere in a Changing Climate</w:t>
      </w:r>
      <w:r w:rsidRPr="00C247AB">
        <w:rPr>
          <w:rFonts w:cs="Arial"/>
          <w:snapToGrid/>
        </w:rPr>
        <w:t xml:space="preserve"> (SROCC)</w:t>
      </w:r>
      <w:r>
        <w:rPr>
          <w:rFonts w:cs="Arial"/>
          <w:snapToGrid/>
        </w:rPr>
        <w:t xml:space="preserve">. </w:t>
      </w:r>
      <w:r w:rsidRPr="00C247AB">
        <w:rPr>
          <w:rFonts w:cs="Arial"/>
          <w:snapToGrid/>
        </w:rPr>
        <w:t xml:space="preserve">IOC delegation, </w:t>
      </w:r>
      <w:r w:rsidR="00C838F8">
        <w:rPr>
          <w:rFonts w:cs="Arial"/>
          <w:snapToGrid/>
        </w:rPr>
        <w:t>led</w:t>
      </w:r>
      <w:r w:rsidRPr="00C247AB">
        <w:rPr>
          <w:rFonts w:cs="Arial"/>
          <w:snapToGrid/>
        </w:rPr>
        <w:t xml:space="preserve"> by the </w:t>
      </w:r>
      <w:r w:rsidR="00C838F8">
        <w:rPr>
          <w:rFonts w:cs="Arial"/>
          <w:snapToGrid/>
        </w:rPr>
        <w:t xml:space="preserve">IOC </w:t>
      </w:r>
      <w:r w:rsidRPr="00C247AB">
        <w:rPr>
          <w:rFonts w:cs="Arial"/>
          <w:snapToGrid/>
        </w:rPr>
        <w:t>Chair</w:t>
      </w:r>
      <w:r w:rsidR="00C838F8">
        <w:rPr>
          <w:rFonts w:cs="Arial"/>
          <w:snapToGrid/>
        </w:rPr>
        <w:t>,</w:t>
      </w:r>
      <w:r w:rsidRPr="00C247AB">
        <w:rPr>
          <w:rFonts w:cs="Arial"/>
          <w:snapToGrid/>
        </w:rPr>
        <w:t xml:space="preserve"> participated in the UNFCCC 25</w:t>
      </w:r>
      <w:r w:rsidRPr="00C247AB">
        <w:rPr>
          <w:rFonts w:cs="Arial"/>
          <w:snapToGrid/>
          <w:vertAlign w:val="superscript"/>
        </w:rPr>
        <w:t>th</w:t>
      </w:r>
      <w:r w:rsidRPr="00C247AB">
        <w:rPr>
          <w:rFonts w:cs="Arial"/>
          <w:snapToGrid/>
        </w:rPr>
        <w:t xml:space="preserve"> Conference of Parties in </w:t>
      </w:r>
      <w:r>
        <w:rPr>
          <w:rFonts w:cs="Arial"/>
          <w:snapToGrid/>
        </w:rPr>
        <w:t>Madrid in early December 2019. The discussions there, informed by SROCC</w:t>
      </w:r>
      <w:r w:rsidR="004641E7">
        <w:rPr>
          <w:rFonts w:cs="Arial"/>
          <w:snapToGrid/>
        </w:rPr>
        <w:t>,</w:t>
      </w:r>
      <w:r>
        <w:rPr>
          <w:rFonts w:cs="Arial"/>
          <w:snapToGrid/>
        </w:rPr>
        <w:t xml:space="preserve"> led to the establishment of the UNFCCC Ocean and Climate Dialogue under the Convention’s Subsidiary Body for Scientific and Technological Advice (SBSTA). IOC actively and visibly participated in the first Dialogue on 2 and 3 December 2020</w:t>
      </w:r>
      <w:r w:rsidR="00C838F8">
        <w:rPr>
          <w:rFonts w:cs="Arial"/>
          <w:snapToGrid/>
        </w:rPr>
        <w:t>,</w:t>
      </w:r>
      <w:r>
        <w:rPr>
          <w:rFonts w:cs="Arial"/>
          <w:snapToGrid/>
        </w:rPr>
        <w:t xml:space="preserve"> offering the Decade as a platform for strengthening the scientific basis for UNFCCC deliberations on ocean and climate</w:t>
      </w:r>
      <w:r w:rsidR="004641E7">
        <w:rPr>
          <w:rFonts w:cs="Arial"/>
          <w:snapToGrid/>
        </w:rPr>
        <w:t>.</w:t>
      </w:r>
    </w:p>
    <w:p w14:paraId="4BEC847B" w14:textId="13D21498" w:rsidR="000B7937" w:rsidRPr="00E16CC7" w:rsidRDefault="000B7937" w:rsidP="007B4F94">
      <w:pPr>
        <w:pStyle w:val="Style2"/>
        <w:numPr>
          <w:ilvl w:val="0"/>
          <w:numId w:val="1"/>
        </w:numPr>
        <w:tabs>
          <w:tab w:val="left" w:pos="709"/>
        </w:tabs>
        <w:ind w:left="0" w:firstLine="0"/>
        <w:rPr>
          <w:rFonts w:cs="Arial"/>
          <w:snapToGrid/>
        </w:rPr>
      </w:pPr>
      <w:r w:rsidRPr="00E16CC7">
        <w:rPr>
          <w:rFonts w:cs="Arial"/>
          <w:snapToGrid/>
        </w:rPr>
        <w:t xml:space="preserve">IOC </w:t>
      </w:r>
      <w:r w:rsidR="00C247AB">
        <w:rPr>
          <w:rFonts w:cs="Arial"/>
          <w:snapToGrid/>
        </w:rPr>
        <w:t xml:space="preserve">actively contributes to </w:t>
      </w:r>
      <w:r w:rsidRPr="00E16CC7">
        <w:rPr>
          <w:rFonts w:cs="Arial"/>
          <w:snapToGrid/>
        </w:rPr>
        <w:t xml:space="preserve">the negotiation process on an International Legally Binding Instrument (ILBI) on the conservation and sustainable use of marine biodiversity in areas beyond </w:t>
      </w:r>
      <w:r w:rsidRPr="00E16CC7">
        <w:rPr>
          <w:rFonts w:cs="Arial"/>
          <w:bCs/>
          <w:snapToGrid/>
        </w:rPr>
        <w:t>national</w:t>
      </w:r>
      <w:r w:rsidRPr="00E16CC7">
        <w:rPr>
          <w:rFonts w:cs="Arial"/>
          <w:snapToGrid/>
        </w:rPr>
        <w:t xml:space="preserve"> jurisdiction (BBNJ). In October 2020, </w:t>
      </w:r>
      <w:r w:rsidRPr="00E16CC7">
        <w:rPr>
          <w:rFonts w:cs="Arial"/>
          <w:snapToGrid/>
          <w:lang w:eastAsia="en-GB"/>
        </w:rPr>
        <w:t xml:space="preserve">with a view to inform the negotiation process, </w:t>
      </w:r>
      <w:r w:rsidRPr="00E16CC7">
        <w:rPr>
          <w:rFonts w:cs="Arial"/>
          <w:snapToGrid/>
        </w:rPr>
        <w:t>the Secretariat published a Non</w:t>
      </w:r>
      <w:r w:rsidR="00ED58D1">
        <w:rPr>
          <w:rFonts w:cs="Arial"/>
          <w:snapToGrid/>
        </w:rPr>
        <w:t>-</w:t>
      </w:r>
      <w:r w:rsidRPr="00E16CC7">
        <w:rPr>
          <w:rFonts w:cs="Arial"/>
          <w:snapToGrid/>
        </w:rPr>
        <w:t xml:space="preserve">Paper </w:t>
      </w:r>
      <w:r w:rsidRPr="00E16CC7">
        <w:rPr>
          <w:rFonts w:cs="Arial"/>
          <w:snapToGrid/>
          <w:lang w:eastAsia="en-GB"/>
        </w:rPr>
        <w:t>on existing and potential contributions of IOC-UNESCO to the BBNJ process (</w:t>
      </w:r>
      <w:hyperlink r:id="rId16" w:history="1">
        <w:r w:rsidRPr="00E16CC7">
          <w:rPr>
            <w:rStyle w:val="Hyperlink"/>
            <w:rFonts w:cs="Arial"/>
            <w:shd w:val="clear" w:color="auto" w:fill="FFFFFF"/>
          </w:rPr>
          <w:t>IOC/INF-1387</w:t>
        </w:r>
      </w:hyperlink>
      <w:r w:rsidRPr="00E16CC7">
        <w:rPr>
          <w:rFonts w:cs="Arial"/>
          <w:shd w:val="clear" w:color="auto" w:fill="FFFFFF"/>
        </w:rPr>
        <w:t>).</w:t>
      </w:r>
      <w:r w:rsidR="00C247AB">
        <w:rPr>
          <w:rFonts w:cs="Arial"/>
          <w:shd w:val="clear" w:color="auto" w:fill="FFFFFF"/>
        </w:rPr>
        <w:t xml:space="preserve"> </w:t>
      </w:r>
    </w:p>
    <w:p w14:paraId="4BA334F4" w14:textId="6E67FE62" w:rsidR="000B7937" w:rsidRPr="00E16CC7" w:rsidRDefault="008A3ECC" w:rsidP="007B4F94">
      <w:pPr>
        <w:pStyle w:val="Style2"/>
        <w:numPr>
          <w:ilvl w:val="0"/>
          <w:numId w:val="1"/>
        </w:numPr>
        <w:tabs>
          <w:tab w:val="left" w:pos="709"/>
        </w:tabs>
        <w:ind w:left="0" w:firstLine="0"/>
        <w:rPr>
          <w:rFonts w:cs="Arial"/>
          <w:snapToGrid/>
        </w:rPr>
      </w:pPr>
      <w:r w:rsidRPr="00E16CC7">
        <w:rPr>
          <w:rFonts w:cs="Arial"/>
          <w:snapToGrid/>
        </w:rPr>
        <w:t xml:space="preserve">Major progress in </w:t>
      </w:r>
      <w:r w:rsidR="00792730">
        <w:rPr>
          <w:rFonts w:cs="Arial"/>
          <w:snapToGrid/>
        </w:rPr>
        <w:t>the reflection</w:t>
      </w:r>
      <w:r w:rsidRPr="00E16CC7">
        <w:rPr>
          <w:rFonts w:cs="Arial"/>
          <w:snapToGrid/>
        </w:rPr>
        <w:t xml:space="preserve"> </w:t>
      </w:r>
      <w:r w:rsidR="004641E7">
        <w:rPr>
          <w:rFonts w:cs="Arial"/>
          <w:snapToGrid/>
        </w:rPr>
        <w:t xml:space="preserve">on </w:t>
      </w:r>
      <w:r>
        <w:rPr>
          <w:rFonts w:cs="Arial"/>
          <w:snapToGrid/>
        </w:rPr>
        <w:t xml:space="preserve">the concept of integrated ocean management </w:t>
      </w:r>
      <w:r w:rsidRPr="00E16CC7">
        <w:rPr>
          <w:rFonts w:cs="Arial"/>
          <w:snapToGrid/>
        </w:rPr>
        <w:t xml:space="preserve">and </w:t>
      </w:r>
      <w:r w:rsidR="00684DDE">
        <w:rPr>
          <w:rFonts w:cs="Arial"/>
          <w:snapToGrid/>
        </w:rPr>
        <w:t xml:space="preserve">its </w:t>
      </w:r>
      <w:r w:rsidRPr="00E16CC7">
        <w:rPr>
          <w:rFonts w:cs="Arial"/>
          <w:snapToGrid/>
        </w:rPr>
        <w:t>prototyping c</w:t>
      </w:r>
      <w:r w:rsidR="00684DDE">
        <w:rPr>
          <w:rFonts w:cs="Arial"/>
          <w:snapToGrid/>
        </w:rPr>
        <w:t>a</w:t>
      </w:r>
      <w:r w:rsidRPr="00E16CC7">
        <w:rPr>
          <w:rFonts w:cs="Arial"/>
          <w:snapToGrid/>
        </w:rPr>
        <w:t xml:space="preserve">me from the work of the High Level Panel (HLP) for a Sustainable Ocean Economy. </w:t>
      </w:r>
      <w:r w:rsidR="00C247AB" w:rsidRPr="00E16CC7">
        <w:rPr>
          <w:rFonts w:cs="Arial"/>
          <w:snapToGrid/>
        </w:rPr>
        <w:t xml:space="preserve">A vision of ocean management based on </w:t>
      </w:r>
      <w:r w:rsidR="00392D87">
        <w:rPr>
          <w:rFonts w:cs="Arial"/>
          <w:snapToGrid/>
        </w:rPr>
        <w:t>objectiv</w:t>
      </w:r>
      <w:r>
        <w:rPr>
          <w:rFonts w:cs="Arial"/>
          <w:snapToGrid/>
        </w:rPr>
        <w:t xml:space="preserve">ity and transparency stemming from </w:t>
      </w:r>
      <w:r w:rsidR="00C247AB" w:rsidRPr="00E16CC7">
        <w:rPr>
          <w:rFonts w:cs="Arial"/>
          <w:snapToGrid/>
        </w:rPr>
        <w:t xml:space="preserve">science </w:t>
      </w:r>
      <w:r w:rsidR="00392D87">
        <w:rPr>
          <w:rFonts w:cs="Arial"/>
          <w:snapToGrid/>
        </w:rPr>
        <w:t>and data</w:t>
      </w:r>
      <w:r w:rsidR="00684DDE">
        <w:rPr>
          <w:rFonts w:cs="Arial"/>
          <w:snapToGrid/>
        </w:rPr>
        <w:t xml:space="preserve"> is emerging</w:t>
      </w:r>
      <w:r>
        <w:rPr>
          <w:rFonts w:cs="Arial"/>
          <w:snapToGrid/>
        </w:rPr>
        <w:t xml:space="preserve">. This vision </w:t>
      </w:r>
      <w:r w:rsidR="00C247AB" w:rsidRPr="00E16CC7">
        <w:rPr>
          <w:rFonts w:cs="Arial"/>
          <w:snapToGrid/>
        </w:rPr>
        <w:t xml:space="preserve">involves </w:t>
      </w:r>
      <w:r w:rsidR="00392D87">
        <w:rPr>
          <w:rFonts w:cs="Arial"/>
          <w:snapToGrid/>
        </w:rPr>
        <w:t xml:space="preserve">a </w:t>
      </w:r>
      <w:r w:rsidR="00C247AB" w:rsidRPr="00E16CC7">
        <w:rPr>
          <w:rFonts w:cs="Arial"/>
          <w:snapToGrid/>
        </w:rPr>
        <w:t xml:space="preserve">broad </w:t>
      </w:r>
      <w:r w:rsidR="00392D87">
        <w:rPr>
          <w:rFonts w:cs="Arial"/>
          <w:snapToGrid/>
        </w:rPr>
        <w:t xml:space="preserve">range </w:t>
      </w:r>
      <w:r w:rsidR="00C247AB" w:rsidRPr="00E16CC7">
        <w:rPr>
          <w:rFonts w:cs="Arial"/>
          <w:snapToGrid/>
        </w:rPr>
        <w:t xml:space="preserve">of stakeholders, </w:t>
      </w:r>
      <w:r w:rsidR="00392D87">
        <w:rPr>
          <w:rFonts w:cs="Arial"/>
          <w:snapToGrid/>
        </w:rPr>
        <w:t xml:space="preserve">uses </w:t>
      </w:r>
      <w:r w:rsidR="00C247AB" w:rsidRPr="00E16CC7">
        <w:rPr>
          <w:rFonts w:cs="Arial"/>
          <w:snapToGrid/>
        </w:rPr>
        <w:t>national accounting and economic considerations</w:t>
      </w:r>
      <w:r w:rsidR="00392D87">
        <w:rPr>
          <w:rFonts w:cs="Arial"/>
          <w:snapToGrid/>
        </w:rPr>
        <w:t xml:space="preserve"> for valuing the ocean</w:t>
      </w:r>
      <w:r w:rsidR="00C247AB" w:rsidRPr="00E16CC7">
        <w:rPr>
          <w:rFonts w:cs="Arial"/>
          <w:snapToGrid/>
        </w:rPr>
        <w:t xml:space="preserve">, </w:t>
      </w:r>
      <w:r w:rsidR="00392D87">
        <w:rPr>
          <w:rFonts w:cs="Arial"/>
          <w:snapToGrid/>
        </w:rPr>
        <w:t xml:space="preserve">and harmonizes </w:t>
      </w:r>
      <w:r w:rsidR="00C247AB" w:rsidRPr="00E16CC7">
        <w:rPr>
          <w:rFonts w:cs="Arial"/>
          <w:snapToGrid/>
        </w:rPr>
        <w:t xml:space="preserve">human relations with the ocean </w:t>
      </w:r>
      <w:r w:rsidR="00392D87">
        <w:rPr>
          <w:rFonts w:cs="Arial"/>
          <w:snapToGrid/>
        </w:rPr>
        <w:lastRenderedPageBreak/>
        <w:t xml:space="preserve">through notions of </w:t>
      </w:r>
      <w:r w:rsidR="00C247AB" w:rsidRPr="00E16CC7">
        <w:rPr>
          <w:rFonts w:cs="Arial"/>
          <w:snapToGrid/>
        </w:rPr>
        <w:t xml:space="preserve">equity </w:t>
      </w:r>
      <w:r w:rsidR="00392D87">
        <w:rPr>
          <w:rFonts w:cs="Arial"/>
          <w:snapToGrid/>
        </w:rPr>
        <w:t>and ethics</w:t>
      </w:r>
      <w:r w:rsidR="00C247AB" w:rsidRPr="00E16CC7">
        <w:rPr>
          <w:rFonts w:cs="Arial"/>
          <w:snapToGrid/>
        </w:rPr>
        <w:t xml:space="preserve">. Consultation and joint brainstorming of the Advisory Panel for HLP </w:t>
      </w:r>
      <w:r>
        <w:rPr>
          <w:rFonts w:cs="Arial"/>
          <w:snapToGrid/>
        </w:rPr>
        <w:t>will continue</w:t>
      </w:r>
      <w:r w:rsidR="00684DDE">
        <w:rPr>
          <w:rFonts w:cs="Arial"/>
          <w:snapToGrid/>
        </w:rPr>
        <w:t xml:space="preserve"> to steer</w:t>
      </w:r>
      <w:r w:rsidR="00C247AB" w:rsidRPr="00E16CC7">
        <w:rPr>
          <w:rFonts w:cs="Arial"/>
          <w:snapToGrid/>
        </w:rPr>
        <w:t xml:space="preserve"> the research under the Decade towards sustainable ocean management. </w:t>
      </w:r>
    </w:p>
    <w:p w14:paraId="2FE4F89A" w14:textId="5E5EC858" w:rsidR="008D7571" w:rsidRPr="002964EF" w:rsidRDefault="002964EF" w:rsidP="007B4F94">
      <w:pPr>
        <w:pStyle w:val="Style2"/>
        <w:numPr>
          <w:ilvl w:val="0"/>
          <w:numId w:val="1"/>
        </w:numPr>
        <w:tabs>
          <w:tab w:val="left" w:pos="709"/>
        </w:tabs>
        <w:ind w:left="0" w:firstLine="0"/>
        <w:rPr>
          <w:rFonts w:cs="Arial"/>
        </w:rPr>
      </w:pPr>
      <w:r>
        <w:rPr>
          <w:rFonts w:cs="Arial"/>
          <w:snapToGrid/>
        </w:rPr>
        <w:t>T</w:t>
      </w:r>
      <w:r w:rsidR="000B7937" w:rsidRPr="00E16CC7">
        <w:rPr>
          <w:rFonts w:cs="Arial"/>
          <w:snapToGrid/>
        </w:rPr>
        <w:t>he main challenge for the Commission’s small Secretariat continue</w:t>
      </w:r>
      <w:r>
        <w:rPr>
          <w:rFonts w:cs="Arial"/>
          <w:snapToGrid/>
        </w:rPr>
        <w:t>s</w:t>
      </w:r>
      <w:r w:rsidR="000B7937" w:rsidRPr="002964EF">
        <w:rPr>
          <w:rFonts w:cs="Arial"/>
          <w:snapToGrid/>
        </w:rPr>
        <w:t xml:space="preserve"> to be the dual task to raise not only extrabudgetary resources necessary to maintain its core operational programmes but also significant additional resources to </w:t>
      </w:r>
      <w:r w:rsidR="00ED58D1">
        <w:rPr>
          <w:rFonts w:cs="Arial"/>
          <w:snapToGrid/>
        </w:rPr>
        <w:t xml:space="preserve">support its role in </w:t>
      </w:r>
      <w:r w:rsidR="000B7937" w:rsidRPr="002964EF">
        <w:rPr>
          <w:rFonts w:cs="Arial"/>
          <w:snapToGrid/>
        </w:rPr>
        <w:t xml:space="preserve">the Decade and contribute to expanding ocean agenda. </w:t>
      </w:r>
      <w:r>
        <w:rPr>
          <w:rFonts w:cs="Arial"/>
          <w:snapToGrid/>
        </w:rPr>
        <w:t xml:space="preserve">However, the increased </w:t>
      </w:r>
      <w:r w:rsidR="007B330D">
        <w:rPr>
          <w:rFonts w:cs="Arial"/>
          <w:snapToGrid/>
        </w:rPr>
        <w:t xml:space="preserve">understanding of the </w:t>
      </w:r>
      <w:r>
        <w:rPr>
          <w:rFonts w:cs="Arial"/>
          <w:snapToGrid/>
        </w:rPr>
        <w:t>role of the ocean in sustainab</w:t>
      </w:r>
      <w:r w:rsidR="007B330D">
        <w:rPr>
          <w:rFonts w:cs="Arial"/>
          <w:snapToGrid/>
        </w:rPr>
        <w:t>le development</w:t>
      </w:r>
      <w:r>
        <w:rPr>
          <w:rFonts w:cs="Arial"/>
          <w:snapToGrid/>
        </w:rPr>
        <w:t xml:space="preserve"> o</w:t>
      </w:r>
      <w:r w:rsidR="004641E7">
        <w:rPr>
          <w:rFonts w:cs="Arial"/>
          <w:snapToGrid/>
        </w:rPr>
        <w:t>pens</w:t>
      </w:r>
      <w:r>
        <w:rPr>
          <w:rFonts w:cs="Arial"/>
          <w:snapToGrid/>
        </w:rPr>
        <w:t xml:space="preserve"> </w:t>
      </w:r>
      <w:r w:rsidRPr="002964EF">
        <w:rPr>
          <w:rFonts w:cs="Arial"/>
          <w:snapToGrid/>
        </w:rPr>
        <w:t xml:space="preserve">new horizons. </w:t>
      </w:r>
      <w:r>
        <w:rPr>
          <w:rFonts w:cs="Arial"/>
          <w:snapToGrid/>
        </w:rPr>
        <w:t xml:space="preserve">The Decade will </w:t>
      </w:r>
      <w:r w:rsidR="007B330D">
        <w:rPr>
          <w:rFonts w:cs="Arial"/>
          <w:snapToGrid/>
        </w:rPr>
        <w:t xml:space="preserve">be </w:t>
      </w:r>
      <w:r>
        <w:rPr>
          <w:rFonts w:cs="Arial"/>
          <w:snapToGrid/>
        </w:rPr>
        <w:t xml:space="preserve">the main vehicle for moving IOC forward. It is symbolic that this new period in the IOC service to the world is occurring when the Commission is turning 60 years old. A consolidated forward-looking view on the role of IOC and how </w:t>
      </w:r>
      <w:r w:rsidR="004641E7">
        <w:rPr>
          <w:rFonts w:cs="Arial"/>
          <w:snapToGrid/>
        </w:rPr>
        <w:t>the Commission</w:t>
      </w:r>
      <w:r>
        <w:rPr>
          <w:rFonts w:cs="Arial"/>
          <w:snapToGrid/>
        </w:rPr>
        <w:t xml:space="preserve"> should optimally look in</w:t>
      </w:r>
      <w:r w:rsidR="007B330D">
        <w:rPr>
          <w:rFonts w:cs="Arial"/>
          <w:snapToGrid/>
        </w:rPr>
        <w:t>to</w:t>
      </w:r>
      <w:r>
        <w:rPr>
          <w:rFonts w:cs="Arial"/>
          <w:snapToGrid/>
        </w:rPr>
        <w:t xml:space="preserve"> the future will be presented by </w:t>
      </w:r>
      <w:r w:rsidR="00ED58D1">
        <w:rPr>
          <w:rFonts w:cs="Arial"/>
          <w:snapToGrid/>
        </w:rPr>
        <w:t xml:space="preserve">the </w:t>
      </w:r>
      <w:r>
        <w:rPr>
          <w:rFonts w:cs="Arial"/>
          <w:snapToGrid/>
        </w:rPr>
        <w:t>Executive Secretary to the IOC Assembly</w:t>
      </w:r>
      <w:r w:rsidR="00ED58D1">
        <w:rPr>
          <w:rFonts w:cs="Arial"/>
          <w:snapToGrid/>
        </w:rPr>
        <w:t xml:space="preserve"> at its 31</w:t>
      </w:r>
      <w:r w:rsidR="00ED58D1" w:rsidRPr="002964EF">
        <w:rPr>
          <w:rFonts w:cs="Arial"/>
          <w:snapToGrid/>
          <w:vertAlign w:val="superscript"/>
        </w:rPr>
        <w:t>st</w:t>
      </w:r>
      <w:r w:rsidR="00ED58D1">
        <w:rPr>
          <w:rFonts w:cs="Arial"/>
          <w:snapToGrid/>
        </w:rPr>
        <w:t xml:space="preserve"> session</w:t>
      </w:r>
      <w:r>
        <w:rPr>
          <w:rFonts w:cs="Arial"/>
          <w:snapToGrid/>
        </w:rPr>
        <w:t xml:space="preserve">. </w:t>
      </w:r>
    </w:p>
    <w:p w14:paraId="27D30F35" w14:textId="62D3B75B" w:rsidR="00062DF5" w:rsidRDefault="00311569" w:rsidP="007B4F94">
      <w:pPr>
        <w:pStyle w:val="Style2"/>
        <w:numPr>
          <w:ilvl w:val="0"/>
          <w:numId w:val="1"/>
        </w:numPr>
        <w:tabs>
          <w:tab w:val="left" w:pos="709"/>
        </w:tabs>
        <w:ind w:left="0" w:firstLine="0"/>
        <w:rPr>
          <w:rFonts w:cs="Arial"/>
        </w:rPr>
      </w:pPr>
      <w:r>
        <w:rPr>
          <w:rFonts w:cs="Arial"/>
        </w:rPr>
        <w:t xml:space="preserve">The </w:t>
      </w:r>
      <w:r w:rsidR="002964EF">
        <w:rPr>
          <w:rFonts w:cs="Arial"/>
        </w:rPr>
        <w:t>Executive Secretary thanks the Chair</w:t>
      </w:r>
      <w:r w:rsidR="004641E7">
        <w:rPr>
          <w:rFonts w:cs="Arial"/>
        </w:rPr>
        <w:t xml:space="preserve"> and</w:t>
      </w:r>
      <w:r w:rsidR="002964EF">
        <w:rPr>
          <w:rFonts w:cs="Arial"/>
        </w:rPr>
        <w:t xml:space="preserve"> </w:t>
      </w:r>
      <w:r w:rsidR="002D7649">
        <w:rPr>
          <w:rFonts w:cs="Arial"/>
        </w:rPr>
        <w:t xml:space="preserve">Officers for </w:t>
      </w:r>
      <w:r>
        <w:rPr>
          <w:rFonts w:cs="Arial"/>
        </w:rPr>
        <w:t xml:space="preserve">their </w:t>
      </w:r>
      <w:r w:rsidR="004641E7">
        <w:rPr>
          <w:rFonts w:cs="Arial"/>
        </w:rPr>
        <w:t xml:space="preserve">guidance and </w:t>
      </w:r>
      <w:r w:rsidR="002D7649">
        <w:rPr>
          <w:rFonts w:cs="Arial"/>
        </w:rPr>
        <w:t xml:space="preserve">leadership, support, and </w:t>
      </w:r>
      <w:r w:rsidR="002D7649" w:rsidRPr="00383A1D">
        <w:rPr>
          <w:rFonts w:cs="Arial"/>
          <w:snapToGrid/>
        </w:rPr>
        <w:t>understandin</w:t>
      </w:r>
      <w:r>
        <w:rPr>
          <w:rFonts w:cs="Arial"/>
        </w:rPr>
        <w:t xml:space="preserve">g as well as </w:t>
      </w:r>
      <w:r w:rsidR="00981AE5">
        <w:rPr>
          <w:rFonts w:cs="Arial"/>
        </w:rPr>
        <w:t xml:space="preserve">the </w:t>
      </w:r>
      <w:r>
        <w:rPr>
          <w:rFonts w:cs="Arial"/>
        </w:rPr>
        <w:t xml:space="preserve">IOC Member States and partners for their </w:t>
      </w:r>
      <w:r w:rsidR="006E3CBC">
        <w:rPr>
          <w:rFonts w:cs="Arial"/>
        </w:rPr>
        <w:t>ever-growing</w:t>
      </w:r>
      <w:r>
        <w:rPr>
          <w:rFonts w:cs="Arial"/>
        </w:rPr>
        <w:t xml:space="preserve"> commitment and support. </w:t>
      </w:r>
      <w:r w:rsidR="002D7649">
        <w:rPr>
          <w:rFonts w:cs="Arial"/>
        </w:rPr>
        <w:t>H</w:t>
      </w:r>
      <w:r>
        <w:rPr>
          <w:rFonts w:cs="Arial"/>
        </w:rPr>
        <w:t xml:space="preserve">is appreciation also goes to </w:t>
      </w:r>
      <w:r w:rsidR="002D7649">
        <w:rPr>
          <w:rFonts w:cs="Arial"/>
        </w:rPr>
        <w:t xml:space="preserve">the </w:t>
      </w:r>
      <w:r w:rsidR="007B330D">
        <w:rPr>
          <w:rFonts w:cs="Arial"/>
        </w:rPr>
        <w:t xml:space="preserve">entire </w:t>
      </w:r>
      <w:r w:rsidR="002D7649">
        <w:rPr>
          <w:rFonts w:cs="Arial"/>
        </w:rPr>
        <w:t xml:space="preserve">Secretariat team for </w:t>
      </w:r>
      <w:r>
        <w:rPr>
          <w:rFonts w:cs="Arial"/>
        </w:rPr>
        <w:t xml:space="preserve">its </w:t>
      </w:r>
      <w:r w:rsidR="002D7649">
        <w:rPr>
          <w:rFonts w:cs="Arial"/>
        </w:rPr>
        <w:t xml:space="preserve">excellent work </w:t>
      </w:r>
      <w:r>
        <w:rPr>
          <w:rFonts w:cs="Arial"/>
        </w:rPr>
        <w:t xml:space="preserve">under challenging </w:t>
      </w:r>
      <w:r w:rsidR="002D7649">
        <w:rPr>
          <w:rFonts w:cs="Arial"/>
        </w:rPr>
        <w:t xml:space="preserve">conditions. </w:t>
      </w:r>
    </w:p>
    <w:p w14:paraId="4B5CA080" w14:textId="77777777" w:rsidR="00062DF5" w:rsidRDefault="00062DF5">
      <w:pPr>
        <w:rPr>
          <w:rFonts w:ascii="Arial" w:eastAsia="Times New Roman" w:hAnsi="Arial" w:cs="Arial"/>
          <w:iCs/>
          <w:snapToGrid w:val="0"/>
        </w:rPr>
      </w:pPr>
      <w:r>
        <w:rPr>
          <w:rFonts w:cs="Arial"/>
        </w:rPr>
        <w:br w:type="page"/>
      </w:r>
    </w:p>
    <w:p w14:paraId="2F56FE46" w14:textId="3044829E" w:rsidR="00F42FA8" w:rsidRDefault="00F42FA8" w:rsidP="00383A1D">
      <w:pPr>
        <w:pBdr>
          <w:bottom w:val="single" w:sz="4" w:space="1" w:color="auto"/>
        </w:pBdr>
        <w:rPr>
          <w:rFonts w:ascii="Arial" w:hAnsi="Arial" w:cs="Arial"/>
          <w:color w:val="000000"/>
          <w:lang w:val="en-US"/>
        </w:rPr>
      </w:pPr>
      <w:r>
        <w:rPr>
          <w:rFonts w:ascii="Arial" w:hAnsi="Arial" w:cs="Arial"/>
          <w:color w:val="000000"/>
          <w:lang w:val="en-US"/>
        </w:rPr>
        <w:lastRenderedPageBreak/>
        <w:t>Annex 1</w:t>
      </w:r>
    </w:p>
    <w:p w14:paraId="5B6B2FDB" w14:textId="138A839B" w:rsidR="00F42FA8" w:rsidRPr="007B4F94" w:rsidRDefault="00F42FA8" w:rsidP="00383A1D">
      <w:pPr>
        <w:autoSpaceDE w:val="0"/>
        <w:autoSpaceDN w:val="0"/>
        <w:adjustRightInd w:val="0"/>
        <w:spacing w:after="240" w:line="240" w:lineRule="auto"/>
        <w:rPr>
          <w:rFonts w:ascii="Arial" w:hAnsi="Arial" w:cs="Arial"/>
          <w:i/>
          <w:iCs/>
          <w:color w:val="000000"/>
        </w:rPr>
      </w:pPr>
      <w:r w:rsidRPr="00383A1D">
        <w:rPr>
          <w:rFonts w:ascii="Arial" w:hAnsi="Arial" w:cs="Arial"/>
          <w:b/>
          <w:bCs/>
          <w:color w:val="000000"/>
          <w:lang w:val="en-US"/>
        </w:rPr>
        <w:t xml:space="preserve">Progress in the implementation of the </w:t>
      </w:r>
      <w:proofErr w:type="spellStart"/>
      <w:r w:rsidRPr="00383A1D">
        <w:rPr>
          <w:rFonts w:ascii="Arial" w:hAnsi="Arial" w:cs="Arial"/>
          <w:b/>
          <w:bCs/>
          <w:color w:val="000000"/>
          <w:lang w:val="en-US"/>
        </w:rPr>
        <w:t>programme</w:t>
      </w:r>
      <w:proofErr w:type="spellEnd"/>
      <w:r w:rsidRPr="00383A1D">
        <w:rPr>
          <w:rFonts w:ascii="Arial" w:hAnsi="Arial" w:cs="Arial"/>
          <w:b/>
          <w:bCs/>
          <w:color w:val="000000"/>
          <w:lang w:val="en-US"/>
        </w:rPr>
        <w:t xml:space="preserve"> adopted by the General Conference, during the period 1 January 2018 to 30 June 2020 – Intergovernmental Oceanographic Commission </w:t>
      </w:r>
      <w:r w:rsidRPr="00383A1D">
        <w:rPr>
          <w:rFonts w:ascii="Arial" w:hAnsi="Arial" w:cs="Arial"/>
          <w:color w:val="000000"/>
          <w:lang w:val="en-US"/>
        </w:rPr>
        <w:t xml:space="preserve">(abstract from </w:t>
      </w:r>
      <w:hyperlink r:id="rId17" w:history="1">
        <w:r w:rsidRPr="00383A1D">
          <w:rPr>
            <w:rStyle w:val="Hyperlink"/>
            <w:rFonts w:ascii="Arial" w:hAnsi="Arial" w:cs="Arial"/>
            <w:lang w:val="en-US"/>
          </w:rPr>
          <w:t>210 EX/4.I.INF</w:t>
        </w:r>
      </w:hyperlink>
      <w:r w:rsidRPr="00383A1D">
        <w:rPr>
          <w:rFonts w:ascii="Arial" w:hAnsi="Arial" w:cs="Arial"/>
          <w:color w:val="000000"/>
          <w:lang w:val="en-US"/>
        </w:rPr>
        <w:t>, October 2020)</w:t>
      </w:r>
      <w:r w:rsidR="007B4F94">
        <w:rPr>
          <w:rFonts w:ascii="Arial" w:hAnsi="Arial" w:cs="Arial"/>
          <w:color w:val="000000"/>
          <w:lang w:val="en-US"/>
        </w:rPr>
        <w:t xml:space="preserve"> – </w:t>
      </w:r>
      <w:r w:rsidR="007B4F94">
        <w:rPr>
          <w:rFonts w:ascii="Arial" w:hAnsi="Arial" w:cs="Arial"/>
          <w:i/>
          <w:iCs/>
          <w:color w:val="000000"/>
          <w:lang w:val="en-US"/>
        </w:rPr>
        <w:t>English only</w:t>
      </w:r>
    </w:p>
    <w:p w14:paraId="3BDECDED" w14:textId="4971C66C" w:rsidR="00C6037B" w:rsidRDefault="00F42FA8" w:rsidP="00383A1D">
      <w:pPr>
        <w:jc w:val="both"/>
        <w:rPr>
          <w:rFonts w:ascii="Arial" w:hAnsi="Arial" w:cs="Arial"/>
          <w:color w:val="000000"/>
          <w:lang w:val="en-US"/>
        </w:rPr>
      </w:pPr>
      <w:r w:rsidRPr="00393BC0">
        <w:rPr>
          <w:rFonts w:ascii="Arial" w:hAnsi="Arial" w:cs="Arial"/>
          <w:color w:val="000000"/>
          <w:lang w:val="en-US"/>
        </w:rPr>
        <w:t xml:space="preserve">This Summary Report has been consolidated based on reporting information entered in SISTER. It presents an account of progress towards the achievement of the 40 C/5 expected results assessed in terms of the performance indicators and related targets for each of the Major </w:t>
      </w:r>
      <w:proofErr w:type="spellStart"/>
      <w:r w:rsidRPr="00393BC0">
        <w:rPr>
          <w:rFonts w:ascii="Arial" w:hAnsi="Arial" w:cs="Arial"/>
          <w:color w:val="000000"/>
          <w:lang w:val="en-US"/>
        </w:rPr>
        <w:t>Programmes</w:t>
      </w:r>
      <w:proofErr w:type="spellEnd"/>
      <w:r w:rsidRPr="00393BC0">
        <w:rPr>
          <w:rFonts w:ascii="Arial" w:hAnsi="Arial" w:cs="Arial"/>
          <w:color w:val="000000"/>
          <w:lang w:val="en-US"/>
        </w:rPr>
        <w:t xml:space="preserve">, the IOC and the UNESCO Institute for Statistics. In addition, it presents summary assessments for each of the two Global Priorities, Africa and gender equality. </w:t>
      </w:r>
    </w:p>
    <w:p w14:paraId="42A6CE4A" w14:textId="49C1949F" w:rsidR="00CA77D0" w:rsidRDefault="00CA77D0">
      <w:pPr>
        <w:rPr>
          <w:bCs/>
          <w:lang w:eastAsia="zh-TW"/>
        </w:rPr>
      </w:pPr>
      <w:r>
        <w:rPr>
          <w:bCs/>
          <w:lang w:eastAsia="zh-TW"/>
        </w:rPr>
        <w:br w:type="page"/>
      </w:r>
    </w:p>
    <w:p w14:paraId="75004093" w14:textId="2DBAA5C7" w:rsidR="00CA77D0" w:rsidRDefault="00CA77D0" w:rsidP="00383A1D">
      <w:pPr>
        <w:ind w:left="-284"/>
        <w:rPr>
          <w:bCs/>
          <w:lang w:eastAsia="zh-TW"/>
        </w:rPr>
      </w:pPr>
      <w:r>
        <w:rPr>
          <w:bCs/>
          <w:noProof/>
          <w:lang w:eastAsia="zh-TW"/>
        </w:rPr>
        <w:lastRenderedPageBreak/>
        <w:drawing>
          <wp:inline distT="0" distB="0" distL="0" distR="0" wp14:anchorId="4EB9B9E0" wp14:editId="0A2027A6">
            <wp:extent cx="6324600" cy="91841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s de 210 EX_4.I.INF PIR_Page_1.jpg"/>
                    <pic:cNvPicPr/>
                  </pic:nvPicPr>
                  <pic:blipFill rotWithShape="1">
                    <a:blip r:embed="rId18">
                      <a:extLst>
                        <a:ext uri="{28A0092B-C50C-407E-A947-70E740481C1C}">
                          <a14:useLocalDpi xmlns:a14="http://schemas.microsoft.com/office/drawing/2010/main" val="0"/>
                        </a:ext>
                      </a:extLst>
                    </a:blip>
                    <a:srcRect l="6604" t="3587" r="5733" b="6399"/>
                    <a:stretch/>
                  </pic:blipFill>
                  <pic:spPr bwMode="auto">
                    <a:xfrm>
                      <a:off x="0" y="0"/>
                      <a:ext cx="6329549" cy="9191288"/>
                    </a:xfrm>
                    <a:prstGeom prst="rect">
                      <a:avLst/>
                    </a:prstGeom>
                    <a:ln>
                      <a:noFill/>
                    </a:ln>
                    <a:extLst>
                      <a:ext uri="{53640926-AAD7-44D8-BBD7-CCE9431645EC}">
                        <a14:shadowObscured xmlns:a14="http://schemas.microsoft.com/office/drawing/2010/main"/>
                      </a:ext>
                    </a:extLst>
                  </pic:spPr>
                </pic:pic>
              </a:graphicData>
            </a:graphic>
          </wp:inline>
        </w:drawing>
      </w:r>
      <w:r>
        <w:rPr>
          <w:bCs/>
          <w:lang w:eastAsia="zh-TW"/>
        </w:rPr>
        <w:br w:type="page"/>
      </w:r>
    </w:p>
    <w:p w14:paraId="22FA1DD8" w14:textId="02C5291E" w:rsidR="007E1234" w:rsidRDefault="00CA77D0" w:rsidP="00EB050C">
      <w:pPr>
        <w:rPr>
          <w:bCs/>
          <w:lang w:eastAsia="zh-TW"/>
        </w:rPr>
      </w:pPr>
      <w:r>
        <w:rPr>
          <w:bCs/>
          <w:noProof/>
          <w:lang w:eastAsia="zh-TW"/>
        </w:rPr>
        <w:lastRenderedPageBreak/>
        <w:drawing>
          <wp:inline distT="0" distB="0" distL="0" distR="0" wp14:anchorId="7D4BF144" wp14:editId="0AE8DD0F">
            <wp:extent cx="6184900" cy="8728909"/>
            <wp:effectExtent l="0" t="0" r="635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ges de 210 EX_4.I.INF PIR_Page_2.jpg"/>
                    <pic:cNvPicPr/>
                  </pic:nvPicPr>
                  <pic:blipFill rotWithShape="1">
                    <a:blip r:embed="rId19">
                      <a:extLst>
                        <a:ext uri="{28A0092B-C50C-407E-A947-70E740481C1C}">
                          <a14:useLocalDpi xmlns:a14="http://schemas.microsoft.com/office/drawing/2010/main" val="0"/>
                        </a:ext>
                      </a:extLst>
                    </a:blip>
                    <a:srcRect l="6930" t="3510" r="6537" b="10132"/>
                    <a:stretch/>
                  </pic:blipFill>
                  <pic:spPr bwMode="auto">
                    <a:xfrm>
                      <a:off x="0" y="0"/>
                      <a:ext cx="6202607" cy="8753900"/>
                    </a:xfrm>
                    <a:prstGeom prst="rect">
                      <a:avLst/>
                    </a:prstGeom>
                    <a:ln>
                      <a:noFill/>
                    </a:ln>
                    <a:extLst>
                      <a:ext uri="{53640926-AAD7-44D8-BBD7-CCE9431645EC}">
                        <a14:shadowObscured xmlns:a14="http://schemas.microsoft.com/office/drawing/2010/main"/>
                      </a:ext>
                    </a:extLst>
                  </pic:spPr>
                </pic:pic>
              </a:graphicData>
            </a:graphic>
          </wp:inline>
        </w:drawing>
      </w:r>
    </w:p>
    <w:p w14:paraId="60C72216" w14:textId="77777777" w:rsidR="007E1234" w:rsidRDefault="007E1234">
      <w:pPr>
        <w:rPr>
          <w:bCs/>
          <w:lang w:eastAsia="zh-TW"/>
        </w:rPr>
      </w:pPr>
      <w:r>
        <w:rPr>
          <w:bCs/>
          <w:lang w:eastAsia="zh-TW"/>
        </w:rPr>
        <w:br w:type="page"/>
      </w:r>
    </w:p>
    <w:p w14:paraId="4B8F4E46" w14:textId="77777777" w:rsidR="007E1234" w:rsidRDefault="007E1234" w:rsidP="007E1234">
      <w:pPr>
        <w:jc w:val="both"/>
        <w:rPr>
          <w:b/>
          <w:bCs/>
        </w:rPr>
      </w:pPr>
      <w:r>
        <w:rPr>
          <w:b/>
          <w:bCs/>
        </w:rPr>
        <w:lastRenderedPageBreak/>
        <w:t>Global priority Africa</w:t>
      </w:r>
    </w:p>
    <w:p w14:paraId="53BAA6C0" w14:textId="77777777" w:rsidR="007E1234" w:rsidRPr="00EB050C" w:rsidRDefault="007E1234" w:rsidP="007E1234">
      <w:pPr>
        <w:jc w:val="both"/>
        <w:rPr>
          <w:rFonts w:ascii="Arial" w:hAnsi="Arial" w:cs="Arial"/>
          <w:color w:val="000000"/>
          <w:lang w:val="en-US"/>
        </w:rPr>
      </w:pPr>
      <w:r w:rsidRPr="00EB050C">
        <w:rPr>
          <w:rFonts w:ascii="Arial" w:hAnsi="Arial" w:cs="Arial"/>
          <w:color w:val="000000"/>
          <w:lang w:val="en-US"/>
        </w:rPr>
        <w:t xml:space="preserve">The UN Decade of Ocean Science for Sustainable Development (2021-2030) is an exceptional opportunity for the region to strengthen its capacities in ocean research in support of the Blue Economy.  IOC partnered with the Western Indian Ocean Marine Science Association and the secretariat of the Nairobi Convention (UN Environment) to  organize “the Regional Consultation workshop for the UN Decade of Ocean Science for Sustainable Development 2021-2030 for Africa and the Adjacent Islands States” which was hosted by the Government of Kenya from 27-29 January 2020 in Nairobi, Kenya. The workshop offered crucial opportunity to identify regional needs and priorities in terms of transforming knowledge systems, accelerating transfer of marine technology, enabling training and education, fostering science-policy dialogues and building capacities, in alignment with the African Union’s initiatives. </w:t>
      </w:r>
    </w:p>
    <w:p w14:paraId="3A9BECFE" w14:textId="77777777" w:rsidR="007E1234" w:rsidRPr="00EB050C" w:rsidRDefault="007E1234" w:rsidP="007E1234">
      <w:pPr>
        <w:jc w:val="both"/>
        <w:rPr>
          <w:rFonts w:ascii="Arial" w:hAnsi="Arial" w:cs="Arial"/>
          <w:color w:val="000000"/>
          <w:lang w:val="en-US"/>
        </w:rPr>
      </w:pPr>
      <w:r w:rsidRPr="00EB050C">
        <w:rPr>
          <w:rFonts w:ascii="Arial" w:hAnsi="Arial" w:cs="Arial"/>
          <w:color w:val="000000"/>
          <w:lang w:val="en-US"/>
        </w:rPr>
        <w:t xml:space="preserve">Capacity development in marine science and technology continues to be a key focus for the IOC’s Sub Commission for Africa and the Adjacent States, with 3 Regional Training </w:t>
      </w:r>
      <w:proofErr w:type="spellStart"/>
      <w:r w:rsidRPr="00EB050C">
        <w:rPr>
          <w:rFonts w:ascii="Arial" w:hAnsi="Arial" w:cs="Arial"/>
          <w:color w:val="000000"/>
          <w:lang w:val="en-US"/>
        </w:rPr>
        <w:t>Centres</w:t>
      </w:r>
      <w:proofErr w:type="spellEnd"/>
      <w:r w:rsidRPr="00EB050C">
        <w:rPr>
          <w:rFonts w:ascii="Arial" w:hAnsi="Arial" w:cs="Arial"/>
          <w:color w:val="000000"/>
          <w:lang w:val="en-US"/>
        </w:rPr>
        <w:t xml:space="preserve"> established within the framework of the Ocean Teacher Academy </w:t>
      </w:r>
      <w:proofErr w:type="spellStart"/>
      <w:r w:rsidRPr="00EB050C">
        <w:rPr>
          <w:rFonts w:ascii="Arial" w:hAnsi="Arial" w:cs="Arial"/>
          <w:color w:val="000000"/>
          <w:lang w:val="en-US"/>
        </w:rPr>
        <w:t>programme</w:t>
      </w:r>
      <w:proofErr w:type="spellEnd"/>
      <w:r w:rsidRPr="00EB050C">
        <w:rPr>
          <w:rFonts w:ascii="Arial" w:hAnsi="Arial" w:cs="Arial"/>
          <w:color w:val="000000"/>
          <w:lang w:val="en-US"/>
        </w:rPr>
        <w:t xml:space="preserve"> in Kenya, Mozambique and Senegal. The </w:t>
      </w:r>
      <w:proofErr w:type="spellStart"/>
      <w:r w:rsidRPr="00EB050C">
        <w:rPr>
          <w:rFonts w:ascii="Arial" w:hAnsi="Arial" w:cs="Arial"/>
          <w:color w:val="000000"/>
          <w:lang w:val="en-US"/>
        </w:rPr>
        <w:t>centres</w:t>
      </w:r>
      <w:proofErr w:type="spellEnd"/>
      <w:r w:rsidRPr="00EB050C">
        <w:rPr>
          <w:rFonts w:ascii="Arial" w:hAnsi="Arial" w:cs="Arial"/>
          <w:color w:val="000000"/>
          <w:lang w:val="en-US"/>
        </w:rPr>
        <w:t xml:space="preserve"> organized 12 training courses, attended by more than 250 trainees from 27 countries. IOC organized 5 workshops on Marine Spatial Planning in English, French and Portuguese, attended by more than 200 participants from 20 Member States. A regional webinar on the development of the African regional node for the Ocean Information Hub (OIH) on 10 June 2020 gathered more than 100 participants. </w:t>
      </w:r>
    </w:p>
    <w:p w14:paraId="0ADF8C91" w14:textId="77777777" w:rsidR="007E1234" w:rsidRPr="00EB050C" w:rsidRDefault="007E1234" w:rsidP="007E1234">
      <w:pPr>
        <w:jc w:val="both"/>
        <w:rPr>
          <w:rFonts w:ascii="Arial" w:hAnsi="Arial" w:cs="Arial"/>
          <w:color w:val="000000"/>
          <w:lang w:val="en-US"/>
        </w:rPr>
      </w:pPr>
      <w:r w:rsidRPr="00EB050C">
        <w:rPr>
          <w:rFonts w:ascii="Arial" w:hAnsi="Arial" w:cs="Arial"/>
          <w:color w:val="000000"/>
          <w:lang w:val="en-US"/>
        </w:rPr>
        <w:t xml:space="preserve">The Second International Indian Ocean Expedition (2015-2020) offered an excellent opportunity for the member states from the region to strengthen their ocean observations capabilities. The government of South Africa provided its oceanographic research vessel, the SA Agulhas II, for two cruises, enabling participation of more than 50 marine scientists and students from Comoros, Egypt, Kenya, Madagascar, Mozambique, Nigeria, and Tanzania. </w:t>
      </w:r>
    </w:p>
    <w:p w14:paraId="3D20444F" w14:textId="77777777" w:rsidR="007E1234" w:rsidRPr="00EB050C" w:rsidRDefault="007E1234" w:rsidP="007E1234">
      <w:pPr>
        <w:jc w:val="both"/>
        <w:rPr>
          <w:rFonts w:ascii="Arial" w:hAnsi="Arial" w:cs="Arial"/>
          <w:color w:val="000000"/>
          <w:lang w:val="en-US"/>
        </w:rPr>
      </w:pPr>
      <w:r w:rsidRPr="00EB050C">
        <w:rPr>
          <w:rFonts w:ascii="Arial" w:hAnsi="Arial" w:cs="Arial"/>
          <w:color w:val="000000"/>
          <w:lang w:val="en-US"/>
        </w:rPr>
        <w:t>Under the framework of the Indian Ocean Tsunami Warning and Mitigation System (IOTWMS), two initiatives deserve particular mention: (i) the capacity assessment of tsunami preparedness that provided a benchmark of the current status of tsunami warning and mitigation systems, identifying gaps, and prioritizing capacity development needs in 21 Member States and (ii) the Indian Ocean wide tsunami exercise (IOWave18). All African Member States bordering the Indian Ocean participated in IOWave18, with Tanzania, Kenya and Seychelles conducting community evacuations. Activities carried out under the Intergovernmental Coordination Group for the Tsunami Early Warning and Mitigation System in the North-eastern Atlantic, the Mediterranean and connected seas (ICG/NEAMTWS) were focused on enhancing tsunami warning capacities of African Member States bordering the Mediterranean Sea and Atlantic Ocean.</w:t>
      </w:r>
    </w:p>
    <w:p w14:paraId="19E955EE" w14:textId="77777777" w:rsidR="007E1234" w:rsidRDefault="007E1234" w:rsidP="007E1234">
      <w:pPr>
        <w:jc w:val="both"/>
      </w:pPr>
      <w:r w:rsidRPr="00EB050C">
        <w:rPr>
          <w:b/>
          <w:bCs/>
        </w:rPr>
        <w:t>Global priority Gender equality</w:t>
      </w:r>
    </w:p>
    <w:p w14:paraId="27924D06" w14:textId="77777777" w:rsidR="007E1234" w:rsidRPr="00EB050C" w:rsidRDefault="007E1234" w:rsidP="007E1234">
      <w:pPr>
        <w:jc w:val="both"/>
        <w:rPr>
          <w:rFonts w:ascii="Arial" w:hAnsi="Arial" w:cs="Arial"/>
          <w:color w:val="000000"/>
          <w:lang w:val="en-US"/>
        </w:rPr>
      </w:pPr>
      <w:r w:rsidRPr="00EB050C">
        <w:rPr>
          <w:rFonts w:ascii="Arial" w:hAnsi="Arial" w:cs="Arial"/>
          <w:color w:val="000000"/>
          <w:lang w:val="en-US"/>
        </w:rPr>
        <w:t>The IOC has been increasingly adopting a gender sensitive approach to its activities. The second edition of the Global Ocean Science Report (GOSR) to be published in 2020 provides baseline information on women and men working in the field of ocean science; globally 38% of the scientists are female, with considerable regional and national differences. Several events were organized to promote gender equality; the 2019 World Ocean Day, with its ‘Gender and the Ocean’ theme, could be cited as one example. However, the approach was still largely ad hoc rather than systematic.</w:t>
      </w:r>
    </w:p>
    <w:p w14:paraId="32A1B68C" w14:textId="77777777" w:rsidR="007E1234" w:rsidRPr="00EB050C" w:rsidRDefault="007E1234" w:rsidP="007E1234">
      <w:pPr>
        <w:jc w:val="both"/>
        <w:rPr>
          <w:rFonts w:ascii="Arial" w:hAnsi="Arial" w:cs="Arial"/>
          <w:color w:val="000000"/>
          <w:lang w:val="en-US"/>
        </w:rPr>
      </w:pPr>
      <w:r w:rsidRPr="00EB050C">
        <w:rPr>
          <w:rFonts w:ascii="Arial" w:hAnsi="Arial" w:cs="Arial"/>
          <w:color w:val="000000"/>
          <w:lang w:val="en-US"/>
        </w:rPr>
        <w:t xml:space="preserve">The upcoming UN Decade of Ocean Science for Sustainable Development (2021-2030) with its explicit gender-related objectives presents a perfect opportunity to build synergies between SDG 5 and SDG 14 and to move from gender disaggregated assessments within the field of ocean science workforce to a more coherent framework of action. Regular assessments of gender representation in ocean science within the framework of the Global Ocean Science Report (GOSR) publications will allow changes to be tracked and the impacts of new initiatives to be observed. Together with its partners, IOC is currently planning a series of outreach and engagement activities to encourage </w:t>
      </w:r>
      <w:r w:rsidRPr="00EB050C">
        <w:rPr>
          <w:rFonts w:ascii="Arial" w:hAnsi="Arial" w:cs="Arial"/>
          <w:color w:val="000000"/>
          <w:lang w:val="en-US"/>
        </w:rPr>
        <w:lastRenderedPageBreak/>
        <w:t xml:space="preserve">submission of gender-sensitive </w:t>
      </w:r>
      <w:proofErr w:type="spellStart"/>
      <w:r w:rsidRPr="00EB050C">
        <w:rPr>
          <w:rFonts w:ascii="Arial" w:hAnsi="Arial" w:cs="Arial"/>
          <w:color w:val="000000"/>
          <w:lang w:val="en-US"/>
        </w:rPr>
        <w:t>programmes</w:t>
      </w:r>
      <w:proofErr w:type="spellEnd"/>
      <w:r w:rsidRPr="00EB050C">
        <w:rPr>
          <w:rFonts w:ascii="Arial" w:hAnsi="Arial" w:cs="Arial"/>
          <w:color w:val="000000"/>
          <w:lang w:val="en-US"/>
        </w:rPr>
        <w:t xml:space="preserve"> and projects to the upcoming Decade Calls for Action. A first virtual consultation will be organized in November 2020.</w:t>
      </w:r>
    </w:p>
    <w:p w14:paraId="5BA2773C" w14:textId="77777777" w:rsidR="00CA77D0" w:rsidRDefault="00CA77D0" w:rsidP="00EB050C">
      <w:pPr>
        <w:rPr>
          <w:bCs/>
          <w:lang w:eastAsia="zh-TW"/>
        </w:rPr>
      </w:pPr>
      <w:bookmarkStart w:id="1" w:name="_GoBack"/>
      <w:bookmarkEnd w:id="1"/>
    </w:p>
    <w:p w14:paraId="60CD9248" w14:textId="77777777" w:rsidR="00EB050C" w:rsidRDefault="00EB050C">
      <w:pPr>
        <w:rPr>
          <w:rFonts w:asciiTheme="minorBidi" w:hAnsiTheme="minorBidi"/>
          <w:bCs/>
          <w:lang w:eastAsia="zh-TW"/>
        </w:rPr>
      </w:pPr>
      <w:r>
        <w:rPr>
          <w:rFonts w:asciiTheme="minorBidi" w:hAnsiTheme="minorBidi"/>
          <w:bCs/>
          <w:lang w:eastAsia="zh-TW"/>
        </w:rPr>
        <w:br w:type="page"/>
      </w:r>
    </w:p>
    <w:p w14:paraId="544FDE6F" w14:textId="7C158649" w:rsidR="00710FF5" w:rsidRDefault="001A747C" w:rsidP="00383A1D">
      <w:pPr>
        <w:pBdr>
          <w:bottom w:val="single" w:sz="4" w:space="1" w:color="auto"/>
        </w:pBdr>
        <w:rPr>
          <w:rFonts w:asciiTheme="minorBidi" w:hAnsiTheme="minorBidi"/>
          <w:bCs/>
          <w:lang w:eastAsia="zh-TW"/>
        </w:rPr>
      </w:pPr>
      <w:r w:rsidRPr="00383A1D">
        <w:rPr>
          <w:rFonts w:asciiTheme="minorBidi" w:hAnsiTheme="minorBidi"/>
          <w:bCs/>
          <w:lang w:eastAsia="zh-TW"/>
        </w:rPr>
        <w:lastRenderedPageBreak/>
        <w:t>Annex</w:t>
      </w:r>
      <w:r>
        <w:rPr>
          <w:rFonts w:asciiTheme="minorBidi" w:hAnsiTheme="minorBidi"/>
          <w:bCs/>
          <w:lang w:eastAsia="zh-TW"/>
        </w:rPr>
        <w:t xml:space="preserve"> 2</w:t>
      </w:r>
    </w:p>
    <w:p w14:paraId="67EE370B" w14:textId="6AD78BE8" w:rsidR="001A747C" w:rsidRPr="00383A1D" w:rsidRDefault="001A747C" w:rsidP="001A747C">
      <w:pPr>
        <w:rPr>
          <w:rFonts w:asciiTheme="minorBidi" w:hAnsiTheme="minorBidi"/>
          <w:bCs/>
          <w:lang w:val="en-US" w:eastAsia="zh-TW"/>
        </w:rPr>
      </w:pPr>
      <w:r w:rsidRPr="00383A1D">
        <w:rPr>
          <w:rFonts w:ascii="Arial" w:hAnsi="Arial" w:cs="Arial"/>
          <w:b/>
          <w:bCs/>
          <w:color w:val="000000"/>
          <w:lang w:val="en-US"/>
        </w:rPr>
        <w:t>Report on UNESCO</w:t>
      </w:r>
      <w:r>
        <w:rPr>
          <w:rFonts w:ascii="Arial" w:hAnsi="Arial" w:cs="Arial"/>
          <w:b/>
          <w:bCs/>
          <w:color w:val="000000"/>
          <w:lang w:val="en-US"/>
        </w:rPr>
        <w:t>’s</w:t>
      </w:r>
      <w:r w:rsidRPr="00383A1D">
        <w:rPr>
          <w:rFonts w:ascii="Arial" w:hAnsi="Arial" w:cs="Arial"/>
          <w:b/>
          <w:bCs/>
          <w:color w:val="000000"/>
          <w:lang w:val="en-US"/>
        </w:rPr>
        <w:t xml:space="preserve"> response to the Covid-19 pandemic and on the impact of the pandemic on the implementation of the </w:t>
      </w:r>
      <w:proofErr w:type="spellStart"/>
      <w:r w:rsidRPr="00383A1D">
        <w:rPr>
          <w:rFonts w:ascii="Arial" w:hAnsi="Arial" w:cs="Arial"/>
          <w:b/>
          <w:bCs/>
          <w:color w:val="000000"/>
          <w:lang w:val="en-US"/>
        </w:rPr>
        <w:t>programme</w:t>
      </w:r>
      <w:proofErr w:type="spellEnd"/>
      <w:r w:rsidRPr="00383A1D">
        <w:rPr>
          <w:rFonts w:ascii="Arial" w:hAnsi="Arial" w:cs="Arial"/>
          <w:b/>
          <w:bCs/>
          <w:color w:val="000000"/>
          <w:lang w:val="en-US"/>
        </w:rPr>
        <w:t xml:space="preserve"> and budget for 2020</w:t>
      </w:r>
      <w:r>
        <w:rPr>
          <w:rFonts w:ascii="Arial" w:hAnsi="Arial" w:cs="Arial"/>
          <w:b/>
          <w:bCs/>
          <w:color w:val="000000"/>
          <w:lang w:val="en-US"/>
        </w:rPr>
        <w:t>–</w:t>
      </w:r>
      <w:r w:rsidRPr="00383A1D">
        <w:rPr>
          <w:rFonts w:ascii="Arial" w:hAnsi="Arial" w:cs="Arial"/>
          <w:b/>
          <w:bCs/>
          <w:color w:val="000000"/>
          <w:lang w:val="en-US"/>
        </w:rPr>
        <w:t>2021 (40 C/5)</w:t>
      </w:r>
      <w:r>
        <w:rPr>
          <w:rFonts w:ascii="Arial" w:hAnsi="Arial" w:cs="Arial"/>
          <w:b/>
          <w:bCs/>
          <w:color w:val="000000"/>
          <w:lang w:val="en-US"/>
        </w:rPr>
        <w:t xml:space="preserve"> –</w:t>
      </w:r>
      <w:r w:rsidRPr="00393BC0">
        <w:rPr>
          <w:rFonts w:ascii="Arial" w:hAnsi="Arial" w:cs="Arial"/>
          <w:b/>
          <w:bCs/>
          <w:color w:val="000000"/>
          <w:lang w:val="en-US"/>
        </w:rPr>
        <w:t xml:space="preserve"> Intergovernmental Oceanographic Commission </w:t>
      </w:r>
      <w:r w:rsidRPr="00393BC0">
        <w:rPr>
          <w:rFonts w:ascii="Arial" w:hAnsi="Arial" w:cs="Arial"/>
          <w:color w:val="000000"/>
          <w:lang w:val="en-US"/>
        </w:rPr>
        <w:t>(abstract from</w:t>
      </w:r>
      <w:r>
        <w:rPr>
          <w:rFonts w:ascii="Arial" w:hAnsi="Arial" w:cs="Arial"/>
          <w:color w:val="000000"/>
          <w:lang w:val="en-US"/>
        </w:rPr>
        <w:t xml:space="preserve"> </w:t>
      </w:r>
      <w:hyperlink r:id="rId20" w:history="1">
        <w:r w:rsidRPr="00834AD2">
          <w:rPr>
            <w:rStyle w:val="Hyperlink"/>
            <w:rFonts w:ascii="Arial" w:hAnsi="Arial" w:cs="Arial"/>
            <w:lang w:val="en-US"/>
          </w:rPr>
          <w:t>210 EX/17</w:t>
        </w:r>
      </w:hyperlink>
      <w:r w:rsidR="00834AD2">
        <w:rPr>
          <w:rFonts w:ascii="Arial" w:hAnsi="Arial" w:cs="Arial"/>
          <w:color w:val="000000"/>
          <w:lang w:val="en-US"/>
        </w:rPr>
        <w:t>, October 2020</w:t>
      </w:r>
      <w:r>
        <w:rPr>
          <w:rFonts w:ascii="Arial" w:hAnsi="Arial" w:cs="Arial"/>
          <w:color w:val="000000"/>
          <w:lang w:val="en-US"/>
        </w:rPr>
        <w:t>)</w:t>
      </w:r>
    </w:p>
    <w:p w14:paraId="056A90D3" w14:textId="77777777" w:rsidR="001A747C" w:rsidRPr="00DD4CE8" w:rsidRDefault="001A747C" w:rsidP="001A747C">
      <w:pPr>
        <w:pStyle w:val="Heading3"/>
      </w:pPr>
      <w:bookmarkStart w:id="2" w:name="_Toc52955803"/>
      <w:bookmarkStart w:id="3" w:name="_Toc52957332"/>
      <w:r w:rsidRPr="00DD4CE8">
        <w:t>Intergovernmental Oceanographic Commission (IOC)</w:t>
      </w:r>
      <w:bookmarkEnd w:id="2"/>
      <w:bookmarkEnd w:id="3"/>
    </w:p>
    <w:p w14:paraId="6442A054" w14:textId="77777777" w:rsidR="001A747C" w:rsidRPr="00DD4CE8" w:rsidRDefault="001A747C" w:rsidP="001A747C">
      <w:pPr>
        <w:pStyle w:val="Marge"/>
        <w:rPr>
          <w:szCs w:val="22"/>
          <w:lang w:val="en-US"/>
        </w:rPr>
      </w:pPr>
      <w:r w:rsidRPr="00DD4CE8">
        <w:rPr>
          <w:szCs w:val="22"/>
        </w:rPr>
        <w:t xml:space="preserve">1. </w:t>
      </w:r>
      <w:r>
        <w:rPr>
          <w:szCs w:val="22"/>
        </w:rPr>
        <w:tab/>
      </w:r>
      <w:r w:rsidRPr="00DD4CE8">
        <w:rPr>
          <w:szCs w:val="22"/>
          <w:u w:val="single"/>
          <w:lang w:val="en-US"/>
        </w:rPr>
        <w:t>Update on UNESCO’s response to the pandemic</w:t>
      </w:r>
    </w:p>
    <w:p w14:paraId="6B0DA0C3" w14:textId="77777777" w:rsidR="001A747C" w:rsidRDefault="001A747C" w:rsidP="001A747C">
      <w:pPr>
        <w:pStyle w:val="Marge"/>
        <w:rPr>
          <w:szCs w:val="22"/>
        </w:rPr>
      </w:pPr>
      <w:r>
        <w:rPr>
          <w:szCs w:val="22"/>
          <w:lang w:val="en-US"/>
        </w:rPr>
        <w:t>73.</w:t>
      </w:r>
      <w:r>
        <w:rPr>
          <w:szCs w:val="22"/>
          <w:lang w:val="en-US"/>
        </w:rPr>
        <w:tab/>
      </w:r>
      <w:r w:rsidRPr="00DD4CE8">
        <w:rPr>
          <w:szCs w:val="22"/>
        </w:rPr>
        <w:t>Working on behalf of the UN system and in close partnership with the 24 members of UN Oceans, the IOC finalized the 10-year implementation plan of the UN Decade of Ocean Science for Sustainable Development (2021-2030) which will be discussed at the 75th session of the UN General Assembly in</w:t>
      </w:r>
      <w:r>
        <w:rPr>
          <w:szCs w:val="22"/>
        </w:rPr>
        <w:t xml:space="preserve"> </w:t>
      </w:r>
      <w:r w:rsidRPr="00DD4CE8">
        <w:rPr>
          <w:szCs w:val="22"/>
        </w:rPr>
        <w:t>September 2020. The Draft Implementation Plan benefited from an international multi-stakeholder peer-review process conducted in March-April 2020 and an intergovernmental review process by IOC Member States and UN-Oceans in June-July 2020. Despite the cancellation of a number of preparatory meeting, a number of virtual participatory events during the period March-July allowed to ensure engagement of international ocean stakeholders (e.g. in cooperation with the World Economic Forum and UN Global Compact, the Ocean Science Decade Business brief was launched on 5 June 2020).</w:t>
      </w:r>
    </w:p>
    <w:p w14:paraId="04DD4869" w14:textId="77777777" w:rsidR="001A747C" w:rsidRDefault="001A747C" w:rsidP="001A747C">
      <w:pPr>
        <w:pStyle w:val="Marge"/>
        <w:rPr>
          <w:szCs w:val="22"/>
        </w:rPr>
      </w:pPr>
      <w:r>
        <w:rPr>
          <w:szCs w:val="22"/>
        </w:rPr>
        <w:t>74.</w:t>
      </w:r>
      <w:r>
        <w:rPr>
          <w:szCs w:val="22"/>
        </w:rPr>
        <w:tab/>
      </w:r>
      <w:r w:rsidRPr="00DD4CE8">
        <w:rPr>
          <w:szCs w:val="22"/>
        </w:rPr>
        <w:t>The second edition of the Global Ocean Science Report (GOSR2020), initially intended to be launched in June 2020 at the 2nd UN Ocean Conference (now postponed to 2021) will be launched through a dedicated series of simultaneous webinars in all regions of the world in the last quarter of 2020.</w:t>
      </w:r>
    </w:p>
    <w:p w14:paraId="382FA974" w14:textId="77777777" w:rsidR="001A747C" w:rsidRPr="00DD4CE8" w:rsidRDefault="001A747C" w:rsidP="001A747C">
      <w:pPr>
        <w:pStyle w:val="Marge"/>
        <w:rPr>
          <w:szCs w:val="22"/>
        </w:rPr>
      </w:pPr>
      <w:r>
        <w:rPr>
          <w:szCs w:val="22"/>
        </w:rPr>
        <w:t>75.</w:t>
      </w:r>
      <w:r>
        <w:rPr>
          <w:szCs w:val="22"/>
        </w:rPr>
        <w:tab/>
        <w:t xml:space="preserve">IOC and the </w:t>
      </w:r>
      <w:r w:rsidRPr="00DD4CE8">
        <w:rPr>
          <w:szCs w:val="22"/>
        </w:rPr>
        <w:t>European Commission continued</w:t>
      </w:r>
      <w:r>
        <w:rPr>
          <w:szCs w:val="22"/>
        </w:rPr>
        <w:t xml:space="preserve"> </w:t>
      </w:r>
      <w:r w:rsidRPr="00DD4CE8">
        <w:rPr>
          <w:szCs w:val="22"/>
        </w:rPr>
        <w:t>the implementation of the</w:t>
      </w:r>
      <w:r>
        <w:rPr>
          <w:szCs w:val="22"/>
        </w:rPr>
        <w:t xml:space="preserve"> </w:t>
      </w:r>
      <w:r w:rsidRPr="00DD4CE8">
        <w:rPr>
          <w:szCs w:val="22"/>
        </w:rPr>
        <w:t>Joint Roadmap to accelerate Maritim</w:t>
      </w:r>
      <w:r>
        <w:rPr>
          <w:szCs w:val="22"/>
        </w:rPr>
        <w:t xml:space="preserve">e/Marine Spatial Planning (MSP) </w:t>
      </w:r>
      <w:r w:rsidRPr="00DD4CE8">
        <w:rPr>
          <w:szCs w:val="22"/>
        </w:rPr>
        <w:t>proces</w:t>
      </w:r>
      <w:r>
        <w:rPr>
          <w:szCs w:val="22"/>
        </w:rPr>
        <w:t xml:space="preserve">ses worldwide. </w:t>
      </w:r>
      <w:r w:rsidRPr="00DD4CE8">
        <w:rPr>
          <w:szCs w:val="22"/>
        </w:rPr>
        <w:t>Despite the cancellation of several face-to-face meetings, an engagement strategy to sustain the delivery of MSP Global activities was rapidly put in place.</w:t>
      </w:r>
      <w:r>
        <w:rPr>
          <w:szCs w:val="22"/>
        </w:rPr>
        <w:t xml:space="preserve"> </w:t>
      </w:r>
      <w:r w:rsidRPr="00DD4CE8">
        <w:rPr>
          <w:szCs w:val="22"/>
        </w:rPr>
        <w:t>As a result,</w:t>
      </w:r>
      <w:r>
        <w:rPr>
          <w:szCs w:val="22"/>
        </w:rPr>
        <w:t xml:space="preserve"> </w:t>
      </w:r>
      <w:r w:rsidRPr="00DD4CE8">
        <w:rPr>
          <w:szCs w:val="22"/>
        </w:rPr>
        <w:t xml:space="preserve">11 online seminars took place, covering ecosystem-based management, gender perspectives, climate change and linkages with sustainable blue economy strategies. </w:t>
      </w:r>
    </w:p>
    <w:p w14:paraId="1784A1A8" w14:textId="77777777" w:rsidR="001A747C" w:rsidRPr="00DD4CE8" w:rsidRDefault="001A747C" w:rsidP="001A747C">
      <w:pPr>
        <w:pStyle w:val="Marge"/>
        <w:keepNext/>
        <w:rPr>
          <w:b/>
          <w:bCs/>
          <w:szCs w:val="22"/>
        </w:rPr>
      </w:pPr>
      <w:r w:rsidRPr="00DD4CE8">
        <w:rPr>
          <w:szCs w:val="22"/>
        </w:rPr>
        <w:t>2.</w:t>
      </w:r>
      <w:r w:rsidRPr="00DD4CE8">
        <w:rPr>
          <w:b/>
          <w:bCs/>
          <w:szCs w:val="22"/>
        </w:rPr>
        <w:t xml:space="preserve"> </w:t>
      </w:r>
      <w:r>
        <w:rPr>
          <w:b/>
          <w:bCs/>
          <w:szCs w:val="22"/>
        </w:rPr>
        <w:tab/>
      </w:r>
      <w:r w:rsidRPr="00DD4CE8">
        <w:rPr>
          <w:szCs w:val="22"/>
          <w:u w:val="single"/>
        </w:rPr>
        <w:t>Impact of the pandemic on the implementation of the 40 C/5 Programme and Budget</w:t>
      </w:r>
    </w:p>
    <w:p w14:paraId="563A6DB1" w14:textId="77777777" w:rsidR="001A747C" w:rsidRPr="00DD4CE8" w:rsidRDefault="001A747C" w:rsidP="001A747C">
      <w:pPr>
        <w:pStyle w:val="Marge"/>
        <w:keepNext/>
        <w:jc w:val="center"/>
        <w:rPr>
          <w:szCs w:val="22"/>
          <w:lang w:val="en-US"/>
        </w:rPr>
      </w:pPr>
      <w:r w:rsidRPr="00DD4CE8">
        <w:rPr>
          <w:szCs w:val="22"/>
        </w:rPr>
        <w:t>Table 4. Intergovernmental Oceanographic Commission: Staff and non-staff Expenditures for 2020-2021 (40 C/5) by source of funds, as at 30 June 2020</w:t>
      </w:r>
    </w:p>
    <w:p w14:paraId="1A8EF9F7" w14:textId="77777777" w:rsidR="001A747C" w:rsidRPr="00DD4CE8" w:rsidRDefault="001A747C" w:rsidP="001A747C">
      <w:pPr>
        <w:pStyle w:val="Marge"/>
        <w:spacing w:after="0"/>
        <w:rPr>
          <w:szCs w:val="22"/>
        </w:rPr>
      </w:pPr>
      <w:r w:rsidRPr="00DD4CE8">
        <w:rPr>
          <w:noProof/>
          <w:szCs w:val="22"/>
          <w:lang w:val="fr-FR" w:eastAsia="fr-FR"/>
        </w:rPr>
        <w:drawing>
          <wp:inline distT="0" distB="0" distL="0" distR="0" wp14:anchorId="36392784" wp14:editId="49ADB3D7">
            <wp:extent cx="6120130" cy="1110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110615"/>
                    </a:xfrm>
                    <a:prstGeom prst="rect">
                      <a:avLst/>
                    </a:prstGeom>
                    <a:noFill/>
                    <a:ln>
                      <a:noFill/>
                    </a:ln>
                  </pic:spPr>
                </pic:pic>
              </a:graphicData>
            </a:graphic>
          </wp:inline>
        </w:drawing>
      </w:r>
    </w:p>
    <w:p w14:paraId="7A184A53" w14:textId="77777777" w:rsidR="001A747C" w:rsidRPr="00FC03D1" w:rsidRDefault="001A747C" w:rsidP="001A747C">
      <w:pPr>
        <w:pStyle w:val="Marge"/>
        <w:spacing w:after="0"/>
        <w:ind w:left="284" w:hanging="284"/>
        <w:rPr>
          <w:i/>
          <w:iCs/>
          <w:sz w:val="18"/>
          <w:szCs w:val="18"/>
        </w:rPr>
      </w:pPr>
      <w:r w:rsidRPr="00FC03D1">
        <w:rPr>
          <w:i/>
          <w:iCs/>
          <w:sz w:val="18"/>
          <w:szCs w:val="18"/>
        </w:rPr>
        <w:t xml:space="preserve">* </w:t>
      </w:r>
      <w:r>
        <w:rPr>
          <w:i/>
          <w:iCs/>
          <w:sz w:val="18"/>
          <w:szCs w:val="18"/>
        </w:rPr>
        <w:tab/>
      </w:r>
      <w:r w:rsidRPr="00FC03D1">
        <w:rPr>
          <w:i/>
          <w:iCs/>
          <w:sz w:val="18"/>
          <w:szCs w:val="18"/>
        </w:rPr>
        <w:t>Data reflected here is before offsetting.</w:t>
      </w:r>
    </w:p>
    <w:p w14:paraId="10E84AF1" w14:textId="77777777" w:rsidR="001A747C" w:rsidRPr="00FC03D1" w:rsidRDefault="001A747C" w:rsidP="001A747C">
      <w:pPr>
        <w:pStyle w:val="Marge"/>
        <w:ind w:left="284" w:hanging="284"/>
        <w:rPr>
          <w:i/>
          <w:sz w:val="18"/>
          <w:szCs w:val="18"/>
          <w:lang w:val="en-US"/>
        </w:rPr>
      </w:pPr>
      <w:r w:rsidRPr="00FC03D1">
        <w:rPr>
          <w:i/>
          <w:sz w:val="18"/>
          <w:szCs w:val="18"/>
          <w:lang w:val="en-US"/>
        </w:rPr>
        <w:t xml:space="preserve">** </w:t>
      </w:r>
      <w:r>
        <w:rPr>
          <w:i/>
          <w:sz w:val="18"/>
          <w:szCs w:val="18"/>
          <w:lang w:val="en-US"/>
        </w:rPr>
        <w:tab/>
      </w:r>
      <w:r w:rsidRPr="00FC03D1">
        <w:rPr>
          <w:i/>
          <w:sz w:val="18"/>
          <w:szCs w:val="18"/>
          <w:lang w:val="en-US"/>
        </w:rPr>
        <w:t>The breakdown by staff/non-staff is not available for the voluntary contributions.</w:t>
      </w:r>
    </w:p>
    <w:p w14:paraId="3A8FAB89" w14:textId="77777777" w:rsidR="001A747C" w:rsidRDefault="001A747C" w:rsidP="001A747C">
      <w:pPr>
        <w:pStyle w:val="Marge"/>
        <w:rPr>
          <w:szCs w:val="22"/>
        </w:rPr>
      </w:pPr>
      <w:r>
        <w:rPr>
          <w:iCs/>
          <w:szCs w:val="22"/>
          <w:lang w:val="en-US"/>
        </w:rPr>
        <w:t>76.</w:t>
      </w:r>
      <w:r>
        <w:rPr>
          <w:iCs/>
          <w:szCs w:val="22"/>
          <w:lang w:val="en-US"/>
        </w:rPr>
        <w:tab/>
      </w:r>
      <w:r w:rsidRPr="00DD4CE8">
        <w:rPr>
          <w:szCs w:val="22"/>
        </w:rPr>
        <w:t>The COVID-19</w:t>
      </w:r>
      <w:r>
        <w:rPr>
          <w:szCs w:val="22"/>
        </w:rPr>
        <w:t>-</w:t>
      </w:r>
      <w:r w:rsidRPr="00DD4CE8">
        <w:rPr>
          <w:szCs w:val="22"/>
        </w:rPr>
        <w:t>related confinement was of a particular concern for the Commission’s operational programmes, in particular the Global Ocean Observing System (GOOS), as observations and data collection of the global oceans were dramatically impacted.</w:t>
      </w:r>
      <w:r w:rsidRPr="00DD4CE8">
        <w:rPr>
          <w:szCs w:val="22"/>
          <w:vertAlign w:val="superscript"/>
        </w:rPr>
        <w:footnoteReference w:id="1"/>
      </w:r>
      <w:r w:rsidRPr="00DD4CE8">
        <w:rPr>
          <w:szCs w:val="22"/>
        </w:rPr>
        <w:t xml:space="preserve"> As a result, the intergovernmental coordination of the Global Tsunami Warning System activities was limited mostly </w:t>
      </w:r>
      <w:r w:rsidRPr="00DD4CE8">
        <w:rPr>
          <w:szCs w:val="22"/>
        </w:rPr>
        <w:lastRenderedPageBreak/>
        <w:t xml:space="preserve">to online meetings, with governance meetings postponed to a later date. Activities were quickly adapted virtual delivery modalities and the Secretariat continued to work closely with expert working groups and Member States of the four regional Intergovernmental Coordination Groups to sustain and enhance the regional systems and pursue relevant initiatives: (i) preparation of guidelines for tsunami warning services, evacuation and sheltering during COVID-19, and (ii) survey on the impact assessment of COVID-19 pandemic on Seismic Tide Gauge and </w:t>
      </w:r>
      <w:proofErr w:type="spellStart"/>
      <w:r w:rsidRPr="00DD4CE8">
        <w:rPr>
          <w:szCs w:val="22"/>
        </w:rPr>
        <w:t>Tsunameter</w:t>
      </w:r>
      <w:proofErr w:type="spellEnd"/>
      <w:r w:rsidRPr="00DD4CE8">
        <w:rPr>
          <w:szCs w:val="22"/>
        </w:rPr>
        <w:t xml:space="preserve"> Networks, and operations of Tsunami Service Providers.</w:t>
      </w:r>
    </w:p>
    <w:p w14:paraId="34B47226" w14:textId="77777777" w:rsidR="001A747C" w:rsidRDefault="001A747C" w:rsidP="001A747C">
      <w:pPr>
        <w:pStyle w:val="Marge"/>
        <w:rPr>
          <w:szCs w:val="22"/>
        </w:rPr>
      </w:pPr>
      <w:r>
        <w:rPr>
          <w:szCs w:val="22"/>
        </w:rPr>
        <w:t>77.</w:t>
      </w:r>
      <w:r>
        <w:rPr>
          <w:szCs w:val="22"/>
        </w:rPr>
        <w:tab/>
      </w:r>
      <w:r w:rsidRPr="00A70C7F">
        <w:rPr>
          <w:szCs w:val="22"/>
        </w:rPr>
        <w:t>The Tsunami Wave exercises were maintained (</w:t>
      </w:r>
      <w:proofErr w:type="spellStart"/>
      <w:r w:rsidRPr="00A70C7F">
        <w:rPr>
          <w:szCs w:val="22"/>
        </w:rPr>
        <w:t>CaribeWave</w:t>
      </w:r>
      <w:proofErr w:type="spellEnd"/>
      <w:r w:rsidRPr="00A70C7F">
        <w:rPr>
          <w:szCs w:val="22"/>
        </w:rPr>
        <w:t xml:space="preserve"> 20 took place in March 2020 with scope reduced to communication tests) or postponed (the IOWave20 was rescheduled for October 2020; the </w:t>
      </w:r>
      <w:proofErr w:type="spellStart"/>
      <w:r w:rsidRPr="00A70C7F">
        <w:rPr>
          <w:szCs w:val="22"/>
        </w:rPr>
        <w:t>PacWave</w:t>
      </w:r>
      <w:proofErr w:type="spellEnd"/>
      <w:r w:rsidRPr="00A70C7F">
        <w:rPr>
          <w:szCs w:val="22"/>
        </w:rPr>
        <w:t xml:space="preserve"> 20 for September-December 2020; and the </w:t>
      </w:r>
      <w:proofErr w:type="spellStart"/>
      <w:r w:rsidRPr="00A70C7F">
        <w:rPr>
          <w:szCs w:val="22"/>
        </w:rPr>
        <w:t>NEAMWave</w:t>
      </w:r>
      <w:proofErr w:type="spellEnd"/>
      <w:r w:rsidRPr="00A70C7F">
        <w:rPr>
          <w:szCs w:val="22"/>
        </w:rPr>
        <w:t xml:space="preserve"> exercise, for March 2021).</w:t>
      </w:r>
    </w:p>
    <w:p w14:paraId="098BEB4F" w14:textId="77777777" w:rsidR="001A747C" w:rsidRDefault="001A747C" w:rsidP="001A747C">
      <w:pPr>
        <w:pStyle w:val="Marge"/>
        <w:rPr>
          <w:szCs w:val="22"/>
        </w:rPr>
      </w:pPr>
      <w:r>
        <w:rPr>
          <w:szCs w:val="22"/>
        </w:rPr>
        <w:t>78.</w:t>
      </w:r>
      <w:r>
        <w:rPr>
          <w:szCs w:val="22"/>
        </w:rPr>
        <w:tab/>
      </w:r>
      <w:r w:rsidRPr="00DD4CE8">
        <w:rPr>
          <w:szCs w:val="22"/>
        </w:rPr>
        <w:t xml:space="preserve">The availability of the Ocean Teacher Global Academy e-learning platform allowed a quick re-orientation and organization of online courses from June 2020. However, the inability to organize face-to-face meetings as planned impacted all activities. Courses in the existing training centres had to limit the number of trainees between March and July 2020. In addition, the number of new applications was limited because of lockdowns in Member States. </w:t>
      </w:r>
    </w:p>
    <w:p w14:paraId="57CEDE76" w14:textId="77777777" w:rsidR="001A747C" w:rsidRPr="00DD4CE8" w:rsidRDefault="001A747C" w:rsidP="001A747C">
      <w:pPr>
        <w:pStyle w:val="Marge"/>
        <w:rPr>
          <w:szCs w:val="22"/>
        </w:rPr>
      </w:pPr>
      <w:r>
        <w:rPr>
          <w:szCs w:val="22"/>
        </w:rPr>
        <w:t>79.</w:t>
      </w:r>
      <w:r>
        <w:rPr>
          <w:szCs w:val="22"/>
        </w:rPr>
        <w:tab/>
      </w:r>
      <w:r w:rsidRPr="00DD4CE8">
        <w:rPr>
          <w:szCs w:val="22"/>
        </w:rPr>
        <w:t>The online survey on the impact of the pandemic lau</w:t>
      </w:r>
      <w:r>
        <w:rPr>
          <w:szCs w:val="22"/>
        </w:rPr>
        <w:t>nched in June 2020 received 117 </w:t>
      </w:r>
      <w:r w:rsidRPr="00DD4CE8">
        <w:rPr>
          <w:szCs w:val="22"/>
        </w:rPr>
        <w:t>responses from Member States’ institutions involved in the IOC-led International Oceanographic Data and Information Exchange programme, with a majority of respondents indicating that the pandemic had an impact on data cent</w:t>
      </w:r>
      <w:r>
        <w:rPr>
          <w:szCs w:val="22"/>
        </w:rPr>
        <w:t>res</w:t>
      </w:r>
      <w:r w:rsidRPr="00DD4CE8">
        <w:rPr>
          <w:szCs w:val="22"/>
        </w:rPr>
        <w:t>.</w:t>
      </w:r>
      <w:r w:rsidRPr="00DD4CE8">
        <w:rPr>
          <w:szCs w:val="22"/>
          <w:vertAlign w:val="superscript"/>
        </w:rPr>
        <w:footnoteReference w:id="2"/>
      </w:r>
      <w:r w:rsidRPr="00DD4CE8">
        <w:rPr>
          <w:szCs w:val="22"/>
        </w:rPr>
        <w:t xml:space="preserve"> While surveys will continue to assess the complete impact through 2020-2021, it is becoming increasingly clear that data gaps will be created in the global ocean data archives due to cancelled research cruises, lack of maintenance of observing equipment during the pandemic, reduction in staff during and possibly after the pandemic and possibly reductions in operational budgets.</w:t>
      </w:r>
    </w:p>
    <w:p w14:paraId="1C4A833D" w14:textId="77777777" w:rsidR="001A747C" w:rsidRPr="00383A1D" w:rsidRDefault="001A747C" w:rsidP="00383A1D">
      <w:pPr>
        <w:rPr>
          <w:rFonts w:asciiTheme="minorBidi" w:hAnsiTheme="minorBidi"/>
          <w:bCs/>
          <w:lang w:eastAsia="zh-TW"/>
        </w:rPr>
      </w:pPr>
    </w:p>
    <w:sectPr w:rsidR="001A747C" w:rsidRPr="00383A1D" w:rsidSect="00383A1D">
      <w:headerReference w:type="even" r:id="rId22"/>
      <w:headerReference w:type="default" r:id="rId23"/>
      <w:headerReference w:type="first" r:id="rId24"/>
      <w:pgSz w:w="11906" w:h="16838" w:code="9"/>
      <w:pgMar w:top="1418" w:right="1134" w:bottom="1134" w:left="1134" w:header="709" w:footer="709"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EE0C" w16cex:dateUtc="2020-10-27T1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42B41" w14:textId="77777777" w:rsidR="00567E19" w:rsidRDefault="00567E19" w:rsidP="0011621D">
      <w:pPr>
        <w:spacing w:after="0" w:line="240" w:lineRule="auto"/>
      </w:pPr>
      <w:r>
        <w:separator/>
      </w:r>
    </w:p>
  </w:endnote>
  <w:endnote w:type="continuationSeparator" w:id="0">
    <w:p w14:paraId="6F203591" w14:textId="77777777" w:rsidR="00567E19" w:rsidRDefault="00567E19" w:rsidP="0011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6DA3" w14:textId="77777777" w:rsidR="00567E19" w:rsidRDefault="00567E19" w:rsidP="0011621D">
      <w:pPr>
        <w:spacing w:after="0" w:line="240" w:lineRule="auto"/>
      </w:pPr>
      <w:r>
        <w:separator/>
      </w:r>
    </w:p>
  </w:footnote>
  <w:footnote w:type="continuationSeparator" w:id="0">
    <w:p w14:paraId="5C5EFD1F" w14:textId="77777777" w:rsidR="00567E19" w:rsidRDefault="00567E19" w:rsidP="0011621D">
      <w:pPr>
        <w:spacing w:after="0" w:line="240" w:lineRule="auto"/>
      </w:pPr>
      <w:r>
        <w:continuationSeparator/>
      </w:r>
    </w:p>
  </w:footnote>
  <w:footnote w:id="1">
    <w:p w14:paraId="27D9247C" w14:textId="77777777" w:rsidR="001A747C" w:rsidRPr="00383A1D" w:rsidRDefault="001A747C" w:rsidP="001A747C">
      <w:pPr>
        <w:ind w:left="567" w:hanging="567"/>
        <w:jc w:val="both"/>
        <w:rPr>
          <w:rFonts w:asciiTheme="minorBidi" w:hAnsiTheme="minorBidi"/>
          <w:sz w:val="18"/>
          <w:szCs w:val="18"/>
        </w:rPr>
      </w:pPr>
      <w:r w:rsidRPr="00B64082">
        <w:rPr>
          <w:rStyle w:val="FootnoteReference"/>
          <w:rFonts w:cs="Arial"/>
          <w:sz w:val="18"/>
          <w:szCs w:val="18"/>
        </w:rPr>
        <w:footnoteRef/>
      </w:r>
      <w:r w:rsidRPr="00B64082">
        <w:rPr>
          <w:rFonts w:cs="Arial"/>
          <w:sz w:val="18"/>
          <w:szCs w:val="18"/>
        </w:rPr>
        <w:t xml:space="preserve"> </w:t>
      </w:r>
      <w:r w:rsidRPr="00B64082">
        <w:rPr>
          <w:rFonts w:cs="Arial"/>
          <w:sz w:val="18"/>
          <w:szCs w:val="18"/>
        </w:rPr>
        <w:tab/>
      </w:r>
      <w:r w:rsidRPr="00383A1D">
        <w:rPr>
          <w:rFonts w:asciiTheme="minorBidi" w:hAnsiTheme="minorBidi"/>
          <w:sz w:val="18"/>
          <w:szCs w:val="18"/>
        </w:rPr>
        <w:t>Governments and oceanographic institutions recalled nearly all oceanographic research vessels to home ports; some commercial ships were also unable to contribute vital ocean and weather observations while ocean buoys and other systems could not be maintained. This situation to important data gaps for marine, climate, and weather forecasts and warnings.</w:t>
      </w:r>
    </w:p>
  </w:footnote>
  <w:footnote w:id="2">
    <w:p w14:paraId="505979AB" w14:textId="77777777" w:rsidR="001A747C" w:rsidRPr="00383A1D" w:rsidRDefault="001A747C" w:rsidP="001A747C">
      <w:pPr>
        <w:spacing w:after="80"/>
        <w:ind w:left="567" w:hanging="567"/>
        <w:jc w:val="both"/>
        <w:rPr>
          <w:rFonts w:asciiTheme="minorBidi" w:hAnsiTheme="minorBidi"/>
          <w:sz w:val="18"/>
          <w:szCs w:val="18"/>
        </w:rPr>
      </w:pPr>
      <w:r w:rsidRPr="00B64082">
        <w:rPr>
          <w:rStyle w:val="FootnoteReference"/>
          <w:rFonts w:cs="Arial"/>
          <w:sz w:val="18"/>
          <w:szCs w:val="18"/>
        </w:rPr>
        <w:footnoteRef/>
      </w:r>
      <w:r w:rsidRPr="00B64082">
        <w:rPr>
          <w:rFonts w:cs="Arial"/>
          <w:sz w:val="18"/>
          <w:szCs w:val="18"/>
        </w:rPr>
        <w:t xml:space="preserve"> </w:t>
      </w:r>
      <w:r w:rsidRPr="00B64082">
        <w:rPr>
          <w:rFonts w:cs="Arial"/>
          <w:sz w:val="18"/>
          <w:szCs w:val="18"/>
        </w:rPr>
        <w:tab/>
      </w:r>
      <w:r w:rsidRPr="00383A1D">
        <w:rPr>
          <w:rFonts w:asciiTheme="minorBidi" w:hAnsiTheme="minorBidi"/>
          <w:sz w:val="18"/>
          <w:szCs w:val="18"/>
        </w:rPr>
        <w:t>81% of the respondents reported that the pandemic had an impact on the data centre; 77% of the respondents reported that data centre staff has been working from home; 51% of the respondents reported that the pandemic resulted in a reduced data flow to the data centre (data received) while 25% reported no data received at all; 48% of the respondents reported that there was no change in the services provided by the data centre while 36% reported reduced services; 49% of the respondents reported that they expect the impact of the pandemic continue for more than 3 months (i.e. later than August 2020); 57% of the respondents expect that the pandemic will result in data gaps in their collection, and 44% expect a loss of funding.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0647" w14:textId="77777777" w:rsidR="007744DB" w:rsidRPr="00003B31" w:rsidRDefault="007744DB" w:rsidP="006E7A21">
    <w:pPr>
      <w:pStyle w:val="Header"/>
      <w:ind w:left="7088"/>
      <w:rPr>
        <w:rFonts w:cs="Arial"/>
        <w:lang w:val="fr-FR"/>
      </w:rPr>
    </w:pPr>
    <w:r w:rsidRPr="00AF7EA2">
      <w:rPr>
        <w:rFonts w:cs="Arial"/>
        <w:sz w:val="20"/>
        <w:szCs w:val="20"/>
        <w:highlight w:val="yellow"/>
        <w:lang w:val="fr-FR"/>
      </w:rPr>
      <w:t xml:space="preserve">IOC-XXIX/2 Annex </w:t>
    </w:r>
    <w:r>
      <w:rPr>
        <w:rFonts w:cs="Arial"/>
        <w:sz w:val="20"/>
        <w:szCs w:val="20"/>
        <w:highlight w:val="yellow"/>
        <w:lang w:val="fr-FR"/>
      </w:rPr>
      <w:t>9</w:t>
    </w:r>
  </w:p>
  <w:p w14:paraId="7B0CC09C" w14:textId="77777777" w:rsidR="007744DB" w:rsidRPr="00FC2521" w:rsidRDefault="007744DB" w:rsidP="006E7A21">
    <w:pPr>
      <w:pStyle w:val="Header"/>
      <w:ind w:left="7088"/>
      <w:rPr>
        <w:rFonts w:cs="Arial"/>
        <w:sz w:val="20"/>
        <w:lang w:val="fr-FR"/>
      </w:rPr>
    </w:pPr>
    <w:r w:rsidRPr="00FC2521">
      <w:rPr>
        <w:rFonts w:cs="Arial"/>
        <w:sz w:val="20"/>
        <w:lang w:val="fr-FR"/>
      </w:rPr>
      <w:t>page </w:t>
    </w:r>
    <w:r w:rsidRPr="00FC2521">
      <w:rPr>
        <w:rStyle w:val="PageNumber"/>
        <w:rFonts w:cs="Arial"/>
        <w:sz w:val="20"/>
      </w:rPr>
      <w:fldChar w:fldCharType="begin"/>
    </w:r>
    <w:r w:rsidRPr="00FC2521">
      <w:rPr>
        <w:rStyle w:val="PageNumber"/>
        <w:rFonts w:cs="Arial"/>
        <w:sz w:val="20"/>
        <w:lang w:val="fr-FR"/>
      </w:rPr>
      <w:instrText xml:space="preserve"> PAGE </w:instrText>
    </w:r>
    <w:r w:rsidRPr="00FC2521">
      <w:rPr>
        <w:rStyle w:val="PageNumber"/>
        <w:rFonts w:cs="Arial"/>
        <w:sz w:val="20"/>
      </w:rPr>
      <w:fldChar w:fldCharType="separate"/>
    </w:r>
    <w:r>
      <w:rPr>
        <w:rStyle w:val="PageNumber"/>
        <w:rFonts w:cs="Arial"/>
        <w:noProof/>
        <w:sz w:val="20"/>
        <w:lang w:val="fr-FR"/>
      </w:rPr>
      <w:t>2</w:t>
    </w:r>
    <w:r w:rsidRPr="00FC2521">
      <w:rPr>
        <w:rStyle w:val="PageNumber"/>
        <w:rFonts w:cs="Arial"/>
        <w:sz w:val="20"/>
      </w:rPr>
      <w:fldChar w:fldCharType="end"/>
    </w:r>
  </w:p>
  <w:p w14:paraId="33461363" w14:textId="77777777" w:rsidR="007744DB" w:rsidRDefault="00774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284D" w14:textId="77777777" w:rsidR="007744DB" w:rsidRPr="00812C2F" w:rsidRDefault="007744DB" w:rsidP="006E7A21">
    <w:pPr>
      <w:pStyle w:val="Header"/>
      <w:rPr>
        <w:rFonts w:ascii="Arial" w:hAnsi="Arial" w:cs="Arial"/>
        <w:sz w:val="20"/>
        <w:szCs w:val="20"/>
      </w:rPr>
    </w:pPr>
    <w:r w:rsidRPr="00812C2F">
      <w:rPr>
        <w:rFonts w:ascii="Arial" w:hAnsi="Arial" w:cs="Arial"/>
        <w:sz w:val="20"/>
        <w:szCs w:val="20"/>
      </w:rPr>
      <w:t>IOC-XXIX/2 Annex 9</w:t>
    </w:r>
  </w:p>
  <w:p w14:paraId="5578E55E" w14:textId="77777777" w:rsidR="007744DB" w:rsidRDefault="007744DB" w:rsidP="006E7A21">
    <w:pPr>
      <w:pStyle w:val="Header"/>
      <w:rPr>
        <w:rFonts w:ascii="Arial" w:hAnsi="Arial" w:cs="Arial"/>
        <w:sz w:val="20"/>
        <w:szCs w:val="20"/>
      </w:rPr>
    </w:pPr>
    <w:r w:rsidRPr="00812C2F">
      <w:rPr>
        <w:rFonts w:ascii="Arial" w:hAnsi="Arial" w:cs="Arial"/>
        <w:sz w:val="20"/>
        <w:szCs w:val="20"/>
      </w:rPr>
      <w:t xml:space="preserve">page </w:t>
    </w:r>
  </w:p>
  <w:p w14:paraId="1A04275C" w14:textId="77777777" w:rsidR="007744DB" w:rsidRPr="00812C2F" w:rsidRDefault="007744DB" w:rsidP="006E7A21">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6539" w14:textId="78615277" w:rsidR="007744DB" w:rsidRPr="0011621D" w:rsidRDefault="007744DB" w:rsidP="00383A1D">
    <w:pPr>
      <w:tabs>
        <w:tab w:val="left" w:pos="567"/>
        <w:tab w:val="right" w:pos="9638"/>
      </w:tabs>
      <w:snapToGrid w:val="0"/>
      <w:spacing w:after="0" w:line="240" w:lineRule="auto"/>
      <w:jc w:val="both"/>
      <w:rPr>
        <w:rFonts w:ascii="Arial" w:eastAsia="Times New Roman" w:hAnsi="Arial" w:cs="Arial"/>
        <w:b/>
        <w:snapToGrid w:val="0"/>
      </w:rPr>
    </w:pPr>
    <w:r w:rsidRPr="0011621D">
      <w:rPr>
        <w:rFonts w:ascii="Arial" w:eastAsia="Times New Roman" w:hAnsi="Arial" w:cs="Arial"/>
        <w:snapToGrid w:val="0"/>
      </w:rPr>
      <w:t>Restricted Distribution</w:t>
    </w:r>
    <w:r w:rsidR="00062DF5">
      <w:rPr>
        <w:rFonts w:ascii="Arial" w:eastAsia="Times New Roman" w:hAnsi="Arial" w:cs="Arial"/>
        <w:snapToGrid w:val="0"/>
      </w:rPr>
      <w:tab/>
    </w:r>
    <w:bookmarkStart w:id="0" w:name="_Hlk58398020"/>
    <w:r w:rsidR="000B7937" w:rsidRPr="000B7937">
      <w:rPr>
        <w:rFonts w:ascii="Arial" w:eastAsia="Times New Roman" w:hAnsi="Arial" w:cs="Arial"/>
        <w:b/>
        <w:snapToGrid w:val="0"/>
        <w:sz w:val="36"/>
        <w:szCs w:val="36"/>
      </w:rPr>
      <w:t>IOC/EC-53/3.1.Doc(1)Part2</w:t>
    </w:r>
    <w:bookmarkEnd w:id="0"/>
  </w:p>
  <w:p w14:paraId="36E529C7" w14:textId="60284D50" w:rsidR="007744DB" w:rsidRPr="0011621D" w:rsidRDefault="007744DB" w:rsidP="00383A1D">
    <w:pPr>
      <w:tabs>
        <w:tab w:val="left" w:pos="5124"/>
      </w:tabs>
      <w:snapToGrid w:val="0"/>
      <w:spacing w:after="0" w:line="240" w:lineRule="auto"/>
      <w:jc w:val="both"/>
      <w:rPr>
        <w:rFonts w:ascii="Arial" w:eastAsia="Times New Roman" w:hAnsi="Arial" w:cs="Arial"/>
        <w:snapToGrid w:val="0"/>
      </w:rPr>
    </w:pPr>
    <w:r w:rsidRPr="0011621D">
      <w:rPr>
        <w:rFonts w:ascii="Arial" w:eastAsia="Times New Roman" w:hAnsi="Arial" w:cs="Arial"/>
        <w:b/>
        <w:snapToGrid w:val="0"/>
      </w:rPr>
      <w:tab/>
    </w:r>
    <w:r w:rsidR="00062DF5">
      <w:rPr>
        <w:rFonts w:ascii="Arial" w:eastAsia="Times New Roman" w:hAnsi="Arial" w:cs="Arial"/>
        <w:b/>
        <w:snapToGrid w:val="0"/>
      </w:rPr>
      <w:t xml:space="preserve"> </w:t>
    </w:r>
    <w:r w:rsidRPr="00062DF5">
      <w:rPr>
        <w:rFonts w:ascii="Arial" w:eastAsia="Times New Roman" w:hAnsi="Arial" w:cs="Arial"/>
        <w:snapToGrid w:val="0"/>
      </w:rPr>
      <w:t xml:space="preserve">Paris, </w:t>
    </w:r>
    <w:r w:rsidR="00062DF5" w:rsidRPr="00383A1D">
      <w:rPr>
        <w:rFonts w:ascii="Arial" w:eastAsia="Times New Roman" w:hAnsi="Arial" w:cs="Arial"/>
        <w:snapToGrid w:val="0"/>
      </w:rPr>
      <w:t xml:space="preserve">4 December </w:t>
    </w:r>
    <w:r w:rsidRPr="00383A1D">
      <w:rPr>
        <w:rFonts w:ascii="Arial" w:eastAsia="Times New Roman" w:hAnsi="Arial" w:cs="Arial"/>
        <w:snapToGrid w:val="0"/>
      </w:rPr>
      <w:t>2020</w:t>
    </w:r>
  </w:p>
  <w:p w14:paraId="10808AB1" w14:textId="54B5BB8F" w:rsidR="007744DB" w:rsidRPr="0011621D" w:rsidRDefault="007744DB" w:rsidP="00383A1D">
    <w:pPr>
      <w:tabs>
        <w:tab w:val="left" w:pos="5124"/>
      </w:tabs>
      <w:snapToGrid w:val="0"/>
      <w:spacing w:after="0" w:line="240" w:lineRule="auto"/>
      <w:jc w:val="both"/>
      <w:rPr>
        <w:rFonts w:ascii="Arial" w:eastAsia="Times New Roman" w:hAnsi="Arial" w:cs="Arial"/>
        <w:snapToGrid w:val="0"/>
      </w:rPr>
    </w:pPr>
    <w:r w:rsidRPr="0011621D">
      <w:rPr>
        <w:rFonts w:ascii="Arial" w:eastAsia="Times New Roman" w:hAnsi="Arial" w:cs="Arial"/>
        <w:b/>
        <w:snapToGrid w:val="0"/>
      </w:rPr>
      <w:tab/>
    </w:r>
    <w:r w:rsidR="00062DF5">
      <w:rPr>
        <w:rFonts w:ascii="Arial" w:eastAsia="Times New Roman" w:hAnsi="Arial" w:cs="Arial"/>
        <w:b/>
        <w:snapToGrid w:val="0"/>
      </w:rPr>
      <w:t xml:space="preserve"> </w:t>
    </w:r>
    <w:r w:rsidRPr="0011621D">
      <w:rPr>
        <w:rFonts w:ascii="Arial" w:eastAsia="Times New Roman" w:hAnsi="Arial" w:cs="Arial"/>
        <w:snapToGrid w:val="0"/>
      </w:rPr>
      <w:t>Original: English</w:t>
    </w:r>
  </w:p>
  <w:p w14:paraId="2E556226" w14:textId="77777777" w:rsidR="007744DB" w:rsidRPr="0011621D"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snapToGrid w:val="0"/>
      <w:spacing w:after="0" w:line="240" w:lineRule="auto"/>
      <w:jc w:val="both"/>
      <w:rPr>
        <w:rFonts w:ascii="Arial" w:eastAsia="Times New Roman" w:hAnsi="Arial" w:cs="Arial"/>
        <w:b/>
        <w:snapToGrid w:val="0"/>
      </w:rPr>
    </w:pPr>
  </w:p>
  <w:p w14:paraId="1CA307F9" w14:textId="77777777" w:rsidR="007744DB" w:rsidRPr="0011621D"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jc w:val="both"/>
      <w:rPr>
        <w:rFonts w:ascii="Arial" w:eastAsia="Times New Roman" w:hAnsi="Arial" w:cs="Arial"/>
        <w:b/>
        <w:snapToGrid w:val="0"/>
      </w:rPr>
    </w:pPr>
    <w:r w:rsidRPr="0011621D">
      <w:rPr>
        <w:rFonts w:ascii="Arial" w:eastAsia="Times New Roman" w:hAnsi="Arial" w:cs="Arial"/>
        <w:noProof/>
        <w:lang w:val="fr-FR" w:eastAsia="fr-FR"/>
      </w:rPr>
      <w:drawing>
        <wp:anchor distT="0" distB="0" distL="114300" distR="114300" simplePos="0" relativeHeight="251659264" behindDoc="1" locked="0" layoutInCell="1" allowOverlap="1" wp14:anchorId="34EB4198" wp14:editId="404039CA">
          <wp:simplePos x="0" y="0"/>
          <wp:positionH relativeFrom="column">
            <wp:posOffset>12065</wp:posOffset>
          </wp:positionH>
          <wp:positionV relativeFrom="paragraph">
            <wp:posOffset>165100</wp:posOffset>
          </wp:positionV>
          <wp:extent cx="1561465" cy="802640"/>
          <wp:effectExtent l="0" t="0" r="635" b="0"/>
          <wp:wrapSquare wrapText="bothSides"/>
          <wp:docPr id="8"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5AFD4" w14:textId="77777777" w:rsidR="007744DB" w:rsidRPr="0011621D" w:rsidRDefault="007744DB" w:rsidP="00D362B7">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ight="-711"/>
      <w:rPr>
        <w:rFonts w:ascii="Arial" w:eastAsia="Times New Roman" w:hAnsi="Arial" w:cs="Arial"/>
        <w:b/>
        <w:snapToGrid w:val="0"/>
        <w:sz w:val="24"/>
        <w:szCs w:val="24"/>
      </w:rPr>
    </w:pPr>
    <w:r w:rsidRPr="0011621D">
      <w:rPr>
        <w:rFonts w:ascii="Arial" w:eastAsia="Times New Roman" w:hAnsi="Arial" w:cs="Arial"/>
        <w:b/>
        <w:snapToGrid w:val="0"/>
        <w:sz w:val="24"/>
        <w:szCs w:val="24"/>
      </w:rPr>
      <w:t>INTERGOVERNMENTAL OCEANOGRAPHIC COMMISSION</w:t>
    </w:r>
  </w:p>
  <w:p w14:paraId="7EE71FB8" w14:textId="77777777" w:rsidR="007744DB" w:rsidRPr="0011621D" w:rsidRDefault="007744DB" w:rsidP="0011621D">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
        <w:bCs/>
        <w:snapToGrid w:val="0"/>
        <w:sz w:val="24"/>
        <w:szCs w:val="24"/>
      </w:rPr>
    </w:pPr>
    <w:r w:rsidRPr="0011621D">
      <w:rPr>
        <w:rFonts w:ascii="Arial" w:eastAsia="Times New Roman" w:hAnsi="Arial" w:cs="Arial"/>
        <w:b/>
        <w:bCs/>
        <w:snapToGrid w:val="0"/>
        <w:sz w:val="24"/>
        <w:szCs w:val="24"/>
      </w:rPr>
      <w:t>(of UNESCO)</w:t>
    </w:r>
  </w:p>
  <w:p w14:paraId="03B8CF88" w14:textId="77777777" w:rsidR="007744DB"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rPr>
    </w:pPr>
  </w:p>
  <w:p w14:paraId="63FE4748" w14:textId="77777777" w:rsidR="007744DB" w:rsidRPr="0011621D"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rPr>
    </w:pPr>
  </w:p>
  <w:p w14:paraId="2D017BCF" w14:textId="77777777" w:rsidR="007744DB" w:rsidRPr="005E721E" w:rsidRDefault="007744DB" w:rsidP="00D362B7">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rPr>
    </w:pPr>
    <w:r w:rsidRPr="005E721E">
      <w:rPr>
        <w:rFonts w:ascii="Arial" w:eastAsia="Times New Roman" w:hAnsi="Arial" w:cs="Arial"/>
        <w:b/>
        <w:snapToGrid w:val="0"/>
      </w:rPr>
      <w:t>Fifty-third Session of the Executive Council</w:t>
    </w:r>
  </w:p>
  <w:p w14:paraId="2CF78832" w14:textId="22101B34" w:rsidR="007744DB" w:rsidRPr="005E721E" w:rsidRDefault="00062DF5" w:rsidP="00D362B7">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Cs/>
        <w:snapToGrid w:val="0"/>
      </w:rPr>
    </w:pPr>
    <w:r w:rsidRPr="00062DF5">
      <w:rPr>
        <w:rFonts w:ascii="Arial" w:eastAsia="Times New Roman" w:hAnsi="Arial" w:cs="Arial"/>
        <w:snapToGrid w:val="0"/>
      </w:rPr>
      <w:t>UNESCO, Paris, 3–9 February 2021 [Online session]</w:t>
    </w:r>
  </w:p>
  <w:p w14:paraId="2F30B165" w14:textId="77777777" w:rsidR="007744DB" w:rsidRPr="0011621D" w:rsidRDefault="007744DB" w:rsidP="0011621D">
    <w:pPr>
      <w:tabs>
        <w:tab w:val="left" w:pos="567"/>
      </w:tabs>
      <w:snapToGrid w:val="0"/>
      <w:spacing w:after="0" w:line="240" w:lineRule="auto"/>
      <w:jc w:val="center"/>
      <w:rPr>
        <w:rFonts w:ascii="Arial" w:eastAsia="Times New Roman" w:hAnsi="Arial" w:cs="Arial"/>
        <w:snapToGrid w:val="0"/>
      </w:rPr>
    </w:pPr>
  </w:p>
  <w:p w14:paraId="26F861FB" w14:textId="77777777" w:rsidR="007744DB" w:rsidRPr="0011621D" w:rsidRDefault="007744DB" w:rsidP="008D7571">
    <w:pPr>
      <w:tabs>
        <w:tab w:val="left" w:pos="567"/>
      </w:tabs>
      <w:snapToGrid w:val="0"/>
      <w:spacing w:after="0" w:line="240" w:lineRule="auto"/>
      <w:rPr>
        <w:rFonts w:ascii="Arial" w:eastAsia="Times New Roman" w:hAnsi="Arial" w:cs="Arial"/>
        <w:snapToGrid w:val="0"/>
      </w:rPr>
    </w:pPr>
  </w:p>
  <w:p w14:paraId="5083294D" w14:textId="77777777" w:rsidR="007744DB" w:rsidRPr="0011621D" w:rsidRDefault="007744DB" w:rsidP="008D7571">
    <w:pPr>
      <w:tabs>
        <w:tab w:val="left" w:pos="567"/>
      </w:tabs>
      <w:snapToGrid w:val="0"/>
      <w:spacing w:after="0" w:line="240" w:lineRule="auto"/>
      <w:rPr>
        <w:rFonts w:ascii="Arial" w:eastAsia="Times New Roman" w:hAnsi="Arial" w:cs="Arial"/>
        <w:snapToGrid w:val="0"/>
      </w:rPr>
    </w:pPr>
  </w:p>
  <w:p w14:paraId="52D44EF4" w14:textId="77777777" w:rsidR="007744DB" w:rsidRPr="0011621D" w:rsidRDefault="007744DB" w:rsidP="0011621D">
    <w:pPr>
      <w:tabs>
        <w:tab w:val="left" w:pos="567"/>
      </w:tabs>
      <w:snapToGrid w:val="0"/>
      <w:spacing w:after="0" w:line="240" w:lineRule="auto"/>
      <w:jc w:val="center"/>
      <w:rPr>
        <w:rFonts w:ascii="Arial" w:eastAsia="Times New Roman" w:hAnsi="Arial" w:cs="Arial"/>
        <w:snapToGrid w:val="0"/>
      </w:rPr>
    </w:pPr>
  </w:p>
  <w:p w14:paraId="35E5DAA1" w14:textId="5EF06797" w:rsidR="007744DB" w:rsidRPr="00606BC6" w:rsidRDefault="007744DB" w:rsidP="00606BC6">
    <w:pPr>
      <w:pStyle w:val="Heading7"/>
      <w:tabs>
        <w:tab w:val="right" w:pos="9540"/>
      </w:tabs>
      <w:spacing w:line="240" w:lineRule="auto"/>
      <w:rPr>
        <w:rFonts w:cs="Arial"/>
        <w:sz w:val="24"/>
      </w:rPr>
    </w:pPr>
    <w:r w:rsidRPr="00606BC6">
      <w:rPr>
        <w:rFonts w:cs="Arial"/>
        <w:sz w:val="24"/>
      </w:rPr>
      <w:t xml:space="preserve">Item </w:t>
    </w:r>
    <w:r>
      <w:rPr>
        <w:rFonts w:cs="Arial"/>
        <w:sz w:val="24"/>
      </w:rPr>
      <w:t>3</w:t>
    </w:r>
    <w:r w:rsidR="00062DF5">
      <w:rPr>
        <w:rFonts w:cs="Arial"/>
        <w:sz w:val="24"/>
      </w:rPr>
      <w:t>.1</w:t>
    </w:r>
    <w:r w:rsidRPr="00606BC6">
      <w:rPr>
        <w:rFonts w:cs="Arial"/>
        <w:sz w:val="24"/>
      </w:rPr>
      <w:t xml:space="preserve"> of </w:t>
    </w:r>
    <w:r w:rsidR="00062DF5" w:rsidRPr="00CD2CE3">
      <w:rPr>
        <w:sz w:val="24"/>
      </w:rPr>
      <w:t xml:space="preserve">the </w:t>
    </w:r>
    <w:r w:rsidR="00062DF5">
      <w:rPr>
        <w:sz w:val="24"/>
      </w:rPr>
      <w:t>4</w:t>
    </w:r>
    <w:r w:rsidR="00062DF5" w:rsidRPr="00201C15">
      <w:rPr>
        <w:sz w:val="24"/>
        <w:vertAlign w:val="superscript"/>
      </w:rPr>
      <w:t>th</w:t>
    </w:r>
    <w:r w:rsidR="00062DF5">
      <w:rPr>
        <w:sz w:val="24"/>
      </w:rPr>
      <w:t xml:space="preserve"> Revised </w:t>
    </w:r>
    <w:r w:rsidRPr="00606BC6">
      <w:rPr>
        <w:rFonts w:cs="Arial"/>
        <w:sz w:val="24"/>
      </w:rPr>
      <w:t>Provisional Agenda</w:t>
    </w:r>
  </w:p>
  <w:p w14:paraId="4E013338" w14:textId="77777777" w:rsidR="007744DB" w:rsidRPr="0011621D" w:rsidRDefault="007744DB" w:rsidP="0011621D">
    <w:pPr>
      <w:tabs>
        <w:tab w:val="left" w:pos="567"/>
      </w:tabs>
      <w:snapToGrid w:val="0"/>
      <w:spacing w:after="0" w:line="240" w:lineRule="auto"/>
      <w:rPr>
        <w:rFonts w:ascii="Arial" w:eastAsia="Times New Roman" w:hAnsi="Arial" w:cs="Arial"/>
        <w:snapToGrid w:val="0"/>
      </w:rPr>
    </w:pPr>
  </w:p>
  <w:p w14:paraId="1F16D84B" w14:textId="77777777" w:rsidR="007744DB" w:rsidRPr="0011621D" w:rsidRDefault="007744DB" w:rsidP="0011621D">
    <w:pPr>
      <w:tabs>
        <w:tab w:val="left" w:pos="567"/>
      </w:tabs>
      <w:snapToGrid w:val="0"/>
      <w:spacing w:after="0" w:line="240" w:lineRule="auto"/>
      <w:rPr>
        <w:rFonts w:ascii="Arial" w:eastAsia="Times New Roman" w:hAnsi="Arial" w:cs="Arial"/>
        <w:snapToGrid w:val="0"/>
      </w:rPr>
    </w:pPr>
  </w:p>
  <w:p w14:paraId="44144532" w14:textId="77777777" w:rsidR="000B7937" w:rsidRDefault="000B7937" w:rsidP="00985259">
    <w:pPr>
      <w:tabs>
        <w:tab w:val="left" w:pos="567"/>
        <w:tab w:val="center" w:pos="4153"/>
        <w:tab w:val="right" w:pos="8306"/>
      </w:tabs>
      <w:snapToGrid w:val="0"/>
      <w:spacing w:after="0" w:line="240" w:lineRule="auto"/>
      <w:jc w:val="center"/>
      <w:rPr>
        <w:rFonts w:ascii="Arial" w:eastAsia="Times New Roman" w:hAnsi="Arial" w:cs="Arial"/>
        <w:b/>
        <w:bCs/>
        <w:caps/>
        <w:snapToGrid w:val="0"/>
        <w:sz w:val="24"/>
        <w:szCs w:val="24"/>
      </w:rPr>
    </w:pPr>
  </w:p>
  <w:p w14:paraId="4A746CC5" w14:textId="58AF6C4C" w:rsidR="007744DB" w:rsidRPr="0011621D" w:rsidRDefault="000B7937" w:rsidP="00985259">
    <w:pPr>
      <w:tabs>
        <w:tab w:val="left" w:pos="567"/>
        <w:tab w:val="center" w:pos="4153"/>
        <w:tab w:val="right" w:pos="8306"/>
      </w:tabs>
      <w:snapToGrid w:val="0"/>
      <w:spacing w:after="0" w:line="240" w:lineRule="auto"/>
      <w:jc w:val="center"/>
      <w:rPr>
        <w:rFonts w:ascii="Arial" w:eastAsia="Times New Roman" w:hAnsi="Arial" w:cs="Arial"/>
        <w:snapToGrid w:val="0"/>
      </w:rPr>
    </w:pPr>
    <w:r w:rsidRPr="000B7937">
      <w:rPr>
        <w:rFonts w:ascii="Arial" w:eastAsia="Times New Roman" w:hAnsi="Arial" w:cs="Arial"/>
        <w:b/>
        <w:bCs/>
        <w:caps/>
        <w:snapToGrid w:val="0"/>
        <w:sz w:val="24"/>
        <w:szCs w:val="24"/>
      </w:rPr>
      <w:t>Brief update by the IOC Executive Secretary on the work accomplished since the Thirtieth session of the Assembly</w:t>
    </w:r>
  </w:p>
  <w:p w14:paraId="6F7D8BE5" w14:textId="77777777" w:rsidR="007744DB" w:rsidRPr="0011621D" w:rsidRDefault="007744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BA3C" w14:textId="1C1FD568" w:rsidR="007744DB" w:rsidRPr="00EB050C" w:rsidRDefault="00062DF5" w:rsidP="00DC4E75">
    <w:pPr>
      <w:pStyle w:val="Header"/>
      <w:jc w:val="both"/>
      <w:rPr>
        <w:rFonts w:ascii="Arial" w:hAnsi="Arial" w:cs="Arial"/>
        <w:bCs/>
        <w:sz w:val="20"/>
        <w:szCs w:val="20"/>
        <w:lang w:val="fr-FR"/>
      </w:rPr>
    </w:pPr>
    <w:r w:rsidRPr="00EB050C">
      <w:rPr>
        <w:rFonts w:ascii="Arial" w:hAnsi="Arial" w:cs="Arial"/>
        <w:bCs/>
        <w:sz w:val="20"/>
        <w:szCs w:val="20"/>
        <w:lang w:val="fr-FR"/>
      </w:rPr>
      <w:t>IOC/EC-53/3.1.Doc(1)Part2</w:t>
    </w:r>
  </w:p>
  <w:p w14:paraId="71108A87" w14:textId="0C4ABD98" w:rsidR="007744DB" w:rsidRPr="00EB050C" w:rsidRDefault="00062DF5" w:rsidP="00812C2F">
    <w:pPr>
      <w:pStyle w:val="Header"/>
      <w:jc w:val="both"/>
      <w:rPr>
        <w:rFonts w:ascii="Arial" w:hAnsi="Arial" w:cs="Arial"/>
        <w:sz w:val="20"/>
        <w:szCs w:val="20"/>
        <w:lang w:val="fr-FR"/>
      </w:rPr>
    </w:pPr>
    <w:r w:rsidRPr="00EB050C">
      <w:rPr>
        <w:rFonts w:ascii="Arial" w:hAnsi="Arial" w:cs="Arial"/>
        <w:sz w:val="20"/>
        <w:szCs w:val="20"/>
        <w:lang w:val="fr-FR"/>
      </w:rPr>
      <w:t>p</w:t>
    </w:r>
    <w:r w:rsidR="007744DB" w:rsidRPr="00EB050C">
      <w:rPr>
        <w:rFonts w:ascii="Arial" w:hAnsi="Arial" w:cs="Arial"/>
        <w:sz w:val="20"/>
        <w:szCs w:val="20"/>
        <w:lang w:val="fr-FR"/>
      </w:rPr>
      <w:t>age </w:t>
    </w:r>
    <w:r w:rsidR="007744DB" w:rsidRPr="00812C2F">
      <w:rPr>
        <w:rStyle w:val="PageNumber"/>
        <w:rFonts w:ascii="Arial" w:hAnsi="Arial" w:cs="Arial"/>
        <w:sz w:val="20"/>
        <w:szCs w:val="20"/>
      </w:rPr>
      <w:fldChar w:fldCharType="begin"/>
    </w:r>
    <w:r w:rsidR="007744DB" w:rsidRPr="00EB050C">
      <w:rPr>
        <w:rStyle w:val="PageNumber"/>
        <w:rFonts w:ascii="Arial" w:hAnsi="Arial" w:cs="Arial"/>
        <w:sz w:val="20"/>
        <w:szCs w:val="20"/>
        <w:lang w:val="fr-FR"/>
      </w:rPr>
      <w:instrText xml:space="preserve"> PAGE </w:instrText>
    </w:r>
    <w:r w:rsidR="007744DB" w:rsidRPr="00812C2F">
      <w:rPr>
        <w:rStyle w:val="PageNumber"/>
        <w:rFonts w:ascii="Arial" w:hAnsi="Arial" w:cs="Arial"/>
        <w:sz w:val="20"/>
        <w:szCs w:val="20"/>
      </w:rPr>
      <w:fldChar w:fldCharType="separate"/>
    </w:r>
    <w:r w:rsidR="00381068" w:rsidRPr="00EB050C">
      <w:rPr>
        <w:rStyle w:val="PageNumber"/>
        <w:rFonts w:ascii="Arial" w:hAnsi="Arial" w:cs="Arial"/>
        <w:noProof/>
        <w:sz w:val="20"/>
        <w:szCs w:val="20"/>
        <w:lang w:val="fr-FR"/>
      </w:rPr>
      <w:t>4</w:t>
    </w:r>
    <w:r w:rsidR="007744DB" w:rsidRPr="00812C2F">
      <w:rPr>
        <w:rStyle w:val="PageNumber"/>
        <w:rFonts w:ascii="Arial" w:hAnsi="Arial" w:cs="Arial"/>
        <w:sz w:val="20"/>
        <w:szCs w:val="20"/>
      </w:rPr>
      <w:fldChar w:fldCharType="end"/>
    </w:r>
  </w:p>
  <w:p w14:paraId="229F4B44" w14:textId="77777777" w:rsidR="007744DB" w:rsidRPr="00EB050C" w:rsidRDefault="007744DB">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E074" w14:textId="105BAC7D" w:rsidR="007744DB" w:rsidRPr="00383A1D" w:rsidRDefault="00062DF5" w:rsidP="00383A1D">
    <w:pPr>
      <w:pStyle w:val="Header"/>
      <w:ind w:left="7088"/>
      <w:rPr>
        <w:rFonts w:ascii="Arial" w:hAnsi="Arial" w:cs="Arial"/>
        <w:bCs/>
        <w:sz w:val="20"/>
        <w:szCs w:val="20"/>
        <w:lang w:val="fr-FR"/>
      </w:rPr>
    </w:pPr>
    <w:r w:rsidRPr="00383A1D">
      <w:rPr>
        <w:rFonts w:ascii="Arial" w:hAnsi="Arial" w:cs="Arial"/>
        <w:bCs/>
        <w:sz w:val="20"/>
        <w:szCs w:val="20"/>
        <w:lang w:val="fr-FR"/>
      </w:rPr>
      <w:t>IOC/EC-53/3.1.Doc(1)Part2</w:t>
    </w:r>
  </w:p>
  <w:p w14:paraId="29CB7F0F" w14:textId="27F4F334" w:rsidR="007744DB" w:rsidRPr="00383A1D" w:rsidRDefault="00062DF5" w:rsidP="00383A1D">
    <w:pPr>
      <w:pStyle w:val="Header"/>
      <w:ind w:left="7088"/>
      <w:rPr>
        <w:rFonts w:ascii="Arial" w:hAnsi="Arial" w:cs="Arial"/>
        <w:sz w:val="20"/>
        <w:szCs w:val="20"/>
        <w:lang w:val="fr-FR"/>
      </w:rPr>
    </w:pPr>
    <w:r w:rsidRPr="00383A1D">
      <w:rPr>
        <w:rFonts w:ascii="Arial" w:hAnsi="Arial" w:cs="Arial"/>
        <w:sz w:val="20"/>
        <w:szCs w:val="20"/>
        <w:lang w:val="fr-FR"/>
      </w:rPr>
      <w:t>p</w:t>
    </w:r>
    <w:r w:rsidR="007744DB" w:rsidRPr="00383A1D">
      <w:rPr>
        <w:rFonts w:ascii="Arial" w:hAnsi="Arial" w:cs="Arial"/>
        <w:sz w:val="20"/>
        <w:szCs w:val="20"/>
        <w:lang w:val="fr-FR"/>
      </w:rPr>
      <w:t xml:space="preserve">age </w:t>
    </w:r>
    <w:r w:rsidR="007744DB" w:rsidRPr="006E7A21">
      <w:rPr>
        <w:rFonts w:ascii="Arial" w:hAnsi="Arial" w:cs="Arial"/>
        <w:sz w:val="20"/>
        <w:szCs w:val="20"/>
      </w:rPr>
      <w:fldChar w:fldCharType="begin"/>
    </w:r>
    <w:r w:rsidR="007744DB" w:rsidRPr="00383A1D">
      <w:rPr>
        <w:rFonts w:ascii="Arial" w:hAnsi="Arial" w:cs="Arial"/>
        <w:sz w:val="20"/>
        <w:szCs w:val="20"/>
        <w:lang w:val="fr-FR"/>
      </w:rPr>
      <w:instrText>PAGE   \* MERGEFORMAT</w:instrText>
    </w:r>
    <w:r w:rsidR="007744DB" w:rsidRPr="006E7A21">
      <w:rPr>
        <w:rFonts w:ascii="Arial" w:hAnsi="Arial" w:cs="Arial"/>
        <w:sz w:val="20"/>
        <w:szCs w:val="20"/>
      </w:rPr>
      <w:fldChar w:fldCharType="separate"/>
    </w:r>
    <w:r w:rsidR="00C838F8" w:rsidRPr="00C838F8">
      <w:rPr>
        <w:rFonts w:ascii="Arial" w:hAnsi="Arial" w:cs="Arial"/>
        <w:noProof/>
        <w:sz w:val="20"/>
        <w:szCs w:val="20"/>
        <w:lang w:val="fr-FR"/>
      </w:rPr>
      <w:t>3</w:t>
    </w:r>
    <w:r w:rsidR="007744DB" w:rsidRPr="006E7A21">
      <w:rPr>
        <w:rFonts w:ascii="Arial" w:hAnsi="Arial" w:cs="Arial"/>
        <w:sz w:val="20"/>
        <w:szCs w:val="20"/>
      </w:rPr>
      <w:fldChar w:fldCharType="end"/>
    </w:r>
  </w:p>
  <w:p w14:paraId="7ED62FC6" w14:textId="77777777" w:rsidR="007744DB" w:rsidRPr="00383A1D" w:rsidRDefault="007744DB" w:rsidP="00383A1D">
    <w:pPr>
      <w:pStyle w:val="Header"/>
      <w:ind w:left="7088"/>
      <w:rPr>
        <w:rFonts w:ascii="Arial" w:hAnsi="Arial" w:cs="Arial"/>
        <w:sz w:val="20"/>
        <w:szCs w:val="20"/>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7150" w14:textId="056F79F9" w:rsidR="007744DB" w:rsidRPr="00EB050C" w:rsidRDefault="00062DF5" w:rsidP="00DC4E75">
    <w:pPr>
      <w:pStyle w:val="Header"/>
      <w:rPr>
        <w:rFonts w:ascii="Arial" w:eastAsia="Times New Roman" w:hAnsi="Arial" w:cs="Arial"/>
        <w:bCs/>
        <w:snapToGrid w:val="0"/>
        <w:sz w:val="20"/>
        <w:szCs w:val="20"/>
        <w:lang w:val="fr-FR"/>
      </w:rPr>
    </w:pPr>
    <w:r w:rsidRPr="00EB050C">
      <w:rPr>
        <w:rFonts w:ascii="Arial" w:eastAsia="Times New Roman" w:hAnsi="Arial" w:cs="Arial"/>
        <w:bCs/>
        <w:snapToGrid w:val="0"/>
        <w:sz w:val="20"/>
        <w:szCs w:val="20"/>
        <w:lang w:val="fr-FR"/>
      </w:rPr>
      <w:t>IOC/EC-53/3.1.Doc(1)Part2</w:t>
    </w:r>
  </w:p>
  <w:p w14:paraId="31AEC721" w14:textId="20A6F08B" w:rsidR="007744DB" w:rsidRPr="00EB050C" w:rsidRDefault="00062DF5" w:rsidP="00DC4E75">
    <w:pPr>
      <w:pStyle w:val="Header"/>
      <w:rPr>
        <w:rFonts w:ascii="Arial" w:eastAsia="Times New Roman" w:hAnsi="Arial" w:cs="Arial"/>
        <w:snapToGrid w:val="0"/>
        <w:sz w:val="20"/>
        <w:szCs w:val="20"/>
        <w:lang w:val="fr-FR"/>
      </w:rPr>
    </w:pPr>
    <w:r w:rsidRPr="00EB050C">
      <w:rPr>
        <w:rFonts w:ascii="Arial" w:eastAsia="Times New Roman" w:hAnsi="Arial" w:cs="Arial"/>
        <w:snapToGrid w:val="0"/>
        <w:sz w:val="20"/>
        <w:szCs w:val="20"/>
        <w:lang w:val="fr-FR"/>
      </w:rPr>
      <w:t>p</w:t>
    </w:r>
    <w:r w:rsidR="007744DB" w:rsidRPr="00EB050C">
      <w:rPr>
        <w:rFonts w:ascii="Arial" w:eastAsia="Times New Roman" w:hAnsi="Arial" w:cs="Arial"/>
        <w:snapToGrid w:val="0"/>
        <w:sz w:val="20"/>
        <w:szCs w:val="20"/>
        <w:lang w:val="fr-FR"/>
      </w:rPr>
      <w:t xml:space="preserve">age </w:t>
    </w:r>
    <w:r w:rsidR="007744DB" w:rsidRPr="00812C2F">
      <w:rPr>
        <w:rFonts w:ascii="Arial" w:eastAsia="Times New Roman" w:hAnsi="Arial" w:cs="Arial"/>
        <w:snapToGrid w:val="0"/>
        <w:sz w:val="20"/>
        <w:szCs w:val="20"/>
      </w:rPr>
      <w:fldChar w:fldCharType="begin"/>
    </w:r>
    <w:r w:rsidR="007744DB" w:rsidRPr="00EB050C">
      <w:rPr>
        <w:rFonts w:ascii="Arial" w:eastAsia="Times New Roman" w:hAnsi="Arial" w:cs="Arial"/>
        <w:snapToGrid w:val="0"/>
        <w:sz w:val="20"/>
        <w:szCs w:val="20"/>
        <w:lang w:val="fr-FR"/>
      </w:rPr>
      <w:instrText>PAGE   \* MERGEFORMAT</w:instrText>
    </w:r>
    <w:r w:rsidR="007744DB" w:rsidRPr="00812C2F">
      <w:rPr>
        <w:rFonts w:ascii="Arial" w:eastAsia="Times New Roman" w:hAnsi="Arial" w:cs="Arial"/>
        <w:snapToGrid w:val="0"/>
        <w:sz w:val="20"/>
        <w:szCs w:val="20"/>
      </w:rPr>
      <w:fldChar w:fldCharType="separate"/>
    </w:r>
    <w:r w:rsidR="00636BF7" w:rsidRPr="00EB050C">
      <w:rPr>
        <w:rFonts w:ascii="Arial" w:eastAsia="Times New Roman" w:hAnsi="Arial" w:cs="Arial"/>
        <w:noProof/>
        <w:snapToGrid w:val="0"/>
        <w:sz w:val="20"/>
        <w:szCs w:val="20"/>
        <w:lang w:val="fr-FR"/>
      </w:rPr>
      <w:t>2</w:t>
    </w:r>
    <w:r w:rsidR="007744DB" w:rsidRPr="00812C2F">
      <w:rPr>
        <w:rFonts w:ascii="Arial" w:eastAsia="Times New Roman" w:hAnsi="Arial" w:cs="Arial"/>
        <w:snapToGrid w:val="0"/>
        <w:sz w:val="20"/>
        <w:szCs w:val="20"/>
      </w:rPr>
      <w:fldChar w:fldCharType="end"/>
    </w:r>
  </w:p>
  <w:p w14:paraId="191A1841" w14:textId="77777777" w:rsidR="007744DB" w:rsidRPr="00EB050C" w:rsidRDefault="007744DB">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BD0"/>
    <w:multiLevelType w:val="multilevel"/>
    <w:tmpl w:val="6084083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1C6184"/>
    <w:multiLevelType w:val="hybridMultilevel"/>
    <w:tmpl w:val="072A4A54"/>
    <w:lvl w:ilvl="0" w:tplc="E05A59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491349"/>
    <w:multiLevelType w:val="hybridMultilevel"/>
    <w:tmpl w:val="E2A4729C"/>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15:restartNumberingAfterBreak="0">
    <w:nsid w:val="3A8D6AD6"/>
    <w:multiLevelType w:val="hybridMultilevel"/>
    <w:tmpl w:val="F19C9A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DA51BD"/>
    <w:multiLevelType w:val="hybridMultilevel"/>
    <w:tmpl w:val="828230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7C75A9"/>
    <w:multiLevelType w:val="hybridMultilevel"/>
    <w:tmpl w:val="836073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F0E73A3"/>
    <w:multiLevelType w:val="hybridMultilevel"/>
    <w:tmpl w:val="2C8E9444"/>
    <w:lvl w:ilvl="0" w:tplc="8A066EFA">
      <w:start w:val="1"/>
      <w:numFmt w:val="upperRoman"/>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3F6D0F"/>
    <w:multiLevelType w:val="hybridMultilevel"/>
    <w:tmpl w:val="B4C8FE0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num w:numId="1">
    <w:abstractNumId w:val="0"/>
  </w:num>
  <w:num w:numId="2">
    <w:abstractNumId w:val="7"/>
  </w:num>
  <w:num w:numId="3">
    <w:abstractNumId w:val="4"/>
  </w:num>
  <w:num w:numId="4">
    <w:abstractNumId w:val="3"/>
  </w:num>
  <w:num w:numId="5">
    <w:abstractNumId w:val="5"/>
  </w:num>
  <w:num w:numId="6">
    <w:abstractNumId w:val="1"/>
  </w:num>
  <w:num w:numId="7">
    <w:abstractNumId w:val="6"/>
  </w:num>
  <w:num w:numId="8">
    <w:abstractNumId w:val="8"/>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7A"/>
    <w:rsid w:val="00000F4A"/>
    <w:rsid w:val="00003949"/>
    <w:rsid w:val="00011F91"/>
    <w:rsid w:val="000241E2"/>
    <w:rsid w:val="000458D4"/>
    <w:rsid w:val="00050C55"/>
    <w:rsid w:val="00053B8C"/>
    <w:rsid w:val="00055BC0"/>
    <w:rsid w:val="00062DF5"/>
    <w:rsid w:val="00067444"/>
    <w:rsid w:val="00072A3C"/>
    <w:rsid w:val="000819A2"/>
    <w:rsid w:val="00087946"/>
    <w:rsid w:val="000A20C5"/>
    <w:rsid w:val="000A2802"/>
    <w:rsid w:val="000B0CC9"/>
    <w:rsid w:val="000B5947"/>
    <w:rsid w:val="000B7937"/>
    <w:rsid w:val="0011621D"/>
    <w:rsid w:val="00137056"/>
    <w:rsid w:val="00141789"/>
    <w:rsid w:val="00141FA6"/>
    <w:rsid w:val="00142A14"/>
    <w:rsid w:val="00142A92"/>
    <w:rsid w:val="0014596D"/>
    <w:rsid w:val="001516DB"/>
    <w:rsid w:val="00161237"/>
    <w:rsid w:val="00162C48"/>
    <w:rsid w:val="00163148"/>
    <w:rsid w:val="00166C54"/>
    <w:rsid w:val="00167530"/>
    <w:rsid w:val="00180BD5"/>
    <w:rsid w:val="00181C89"/>
    <w:rsid w:val="00187DC8"/>
    <w:rsid w:val="001924E8"/>
    <w:rsid w:val="001936B7"/>
    <w:rsid w:val="00194E71"/>
    <w:rsid w:val="001A59C5"/>
    <w:rsid w:val="001A747C"/>
    <w:rsid w:val="001B0FBB"/>
    <w:rsid w:val="001C055E"/>
    <w:rsid w:val="001C63B7"/>
    <w:rsid w:val="001C6F3E"/>
    <w:rsid w:val="001D11A4"/>
    <w:rsid w:val="001D5A7B"/>
    <w:rsid w:val="002046F0"/>
    <w:rsid w:val="00207574"/>
    <w:rsid w:val="0021633F"/>
    <w:rsid w:val="002336A3"/>
    <w:rsid w:val="002352E8"/>
    <w:rsid w:val="00237D0E"/>
    <w:rsid w:val="002524F7"/>
    <w:rsid w:val="00256A8F"/>
    <w:rsid w:val="002676F2"/>
    <w:rsid w:val="00267C29"/>
    <w:rsid w:val="00272523"/>
    <w:rsid w:val="00282EAE"/>
    <w:rsid w:val="002964EF"/>
    <w:rsid w:val="002B5FB3"/>
    <w:rsid w:val="002C21D8"/>
    <w:rsid w:val="002D7649"/>
    <w:rsid w:val="002D7A43"/>
    <w:rsid w:val="002E1D9A"/>
    <w:rsid w:val="002F3C97"/>
    <w:rsid w:val="00305F7F"/>
    <w:rsid w:val="00307A3F"/>
    <w:rsid w:val="00311569"/>
    <w:rsid w:val="00321780"/>
    <w:rsid w:val="00335EC4"/>
    <w:rsid w:val="00337BA4"/>
    <w:rsid w:val="003409D4"/>
    <w:rsid w:val="00362FF7"/>
    <w:rsid w:val="0036433A"/>
    <w:rsid w:val="0037384C"/>
    <w:rsid w:val="00377C83"/>
    <w:rsid w:val="00381068"/>
    <w:rsid w:val="00383A1D"/>
    <w:rsid w:val="00392D87"/>
    <w:rsid w:val="00395339"/>
    <w:rsid w:val="00397CBA"/>
    <w:rsid w:val="003A4900"/>
    <w:rsid w:val="003B1455"/>
    <w:rsid w:val="003B2670"/>
    <w:rsid w:val="003B4461"/>
    <w:rsid w:val="003C129E"/>
    <w:rsid w:val="003C3F83"/>
    <w:rsid w:val="003C418F"/>
    <w:rsid w:val="003E3119"/>
    <w:rsid w:val="003F74BF"/>
    <w:rsid w:val="00404BA6"/>
    <w:rsid w:val="004070E3"/>
    <w:rsid w:val="004130B4"/>
    <w:rsid w:val="004142A9"/>
    <w:rsid w:val="0043502A"/>
    <w:rsid w:val="00437ECA"/>
    <w:rsid w:val="0044035E"/>
    <w:rsid w:val="00441B0C"/>
    <w:rsid w:val="004641E7"/>
    <w:rsid w:val="00474073"/>
    <w:rsid w:val="00490189"/>
    <w:rsid w:val="00494901"/>
    <w:rsid w:val="004B22C2"/>
    <w:rsid w:val="004C1BB3"/>
    <w:rsid w:val="004C4064"/>
    <w:rsid w:val="004D4350"/>
    <w:rsid w:val="004D4FF8"/>
    <w:rsid w:val="004E12E8"/>
    <w:rsid w:val="004F0C2B"/>
    <w:rsid w:val="004F62E0"/>
    <w:rsid w:val="0050373C"/>
    <w:rsid w:val="00542C92"/>
    <w:rsid w:val="00545254"/>
    <w:rsid w:val="005537DE"/>
    <w:rsid w:val="00560DB7"/>
    <w:rsid w:val="00567E19"/>
    <w:rsid w:val="00573AA3"/>
    <w:rsid w:val="005911B2"/>
    <w:rsid w:val="00595424"/>
    <w:rsid w:val="005A17E9"/>
    <w:rsid w:val="005A3870"/>
    <w:rsid w:val="005A6864"/>
    <w:rsid w:val="005A6A17"/>
    <w:rsid w:val="005A6DA0"/>
    <w:rsid w:val="005A7314"/>
    <w:rsid w:val="005B6CDE"/>
    <w:rsid w:val="005D71F5"/>
    <w:rsid w:val="005E721E"/>
    <w:rsid w:val="005E78DB"/>
    <w:rsid w:val="005F2C29"/>
    <w:rsid w:val="005F3600"/>
    <w:rsid w:val="00600331"/>
    <w:rsid w:val="00606BC6"/>
    <w:rsid w:val="00607823"/>
    <w:rsid w:val="006162C4"/>
    <w:rsid w:val="0062608C"/>
    <w:rsid w:val="00626ABB"/>
    <w:rsid w:val="006358A6"/>
    <w:rsid w:val="00636BF7"/>
    <w:rsid w:val="00642CEF"/>
    <w:rsid w:val="00656435"/>
    <w:rsid w:val="00660351"/>
    <w:rsid w:val="00662C09"/>
    <w:rsid w:val="00665EFB"/>
    <w:rsid w:val="00667CB4"/>
    <w:rsid w:val="006726A8"/>
    <w:rsid w:val="00680D18"/>
    <w:rsid w:val="00684DDE"/>
    <w:rsid w:val="00684F75"/>
    <w:rsid w:val="00685C0E"/>
    <w:rsid w:val="006945AA"/>
    <w:rsid w:val="006A64DA"/>
    <w:rsid w:val="006B02CE"/>
    <w:rsid w:val="006B117D"/>
    <w:rsid w:val="006C1D2B"/>
    <w:rsid w:val="006D3BEF"/>
    <w:rsid w:val="006D68C0"/>
    <w:rsid w:val="006E39A7"/>
    <w:rsid w:val="006E3CBC"/>
    <w:rsid w:val="006E7A21"/>
    <w:rsid w:val="00710FF5"/>
    <w:rsid w:val="00717C18"/>
    <w:rsid w:val="00720375"/>
    <w:rsid w:val="007448CF"/>
    <w:rsid w:val="00752368"/>
    <w:rsid w:val="00757FFA"/>
    <w:rsid w:val="00762818"/>
    <w:rsid w:val="00766965"/>
    <w:rsid w:val="00773722"/>
    <w:rsid w:val="00773E4C"/>
    <w:rsid w:val="007744DB"/>
    <w:rsid w:val="00781E35"/>
    <w:rsid w:val="00792730"/>
    <w:rsid w:val="007B330D"/>
    <w:rsid w:val="007B4F94"/>
    <w:rsid w:val="007B75C1"/>
    <w:rsid w:val="007D38A1"/>
    <w:rsid w:val="007E1234"/>
    <w:rsid w:val="008123BC"/>
    <w:rsid w:val="00812C2F"/>
    <w:rsid w:val="008154B9"/>
    <w:rsid w:val="00817E3E"/>
    <w:rsid w:val="00834AD2"/>
    <w:rsid w:val="00845230"/>
    <w:rsid w:val="008511C9"/>
    <w:rsid w:val="00851945"/>
    <w:rsid w:val="00854766"/>
    <w:rsid w:val="00863F86"/>
    <w:rsid w:val="00881CF6"/>
    <w:rsid w:val="00885E54"/>
    <w:rsid w:val="008A3ECC"/>
    <w:rsid w:val="008D5E1E"/>
    <w:rsid w:val="008D7571"/>
    <w:rsid w:val="008F789A"/>
    <w:rsid w:val="00900E00"/>
    <w:rsid w:val="009164D2"/>
    <w:rsid w:val="00921D1D"/>
    <w:rsid w:val="009238D5"/>
    <w:rsid w:val="00946128"/>
    <w:rsid w:val="00951D1B"/>
    <w:rsid w:val="00981AE5"/>
    <w:rsid w:val="0098492A"/>
    <w:rsid w:val="00985259"/>
    <w:rsid w:val="00996FAD"/>
    <w:rsid w:val="009A6AF1"/>
    <w:rsid w:val="009B7AE8"/>
    <w:rsid w:val="009C25F4"/>
    <w:rsid w:val="009C4841"/>
    <w:rsid w:val="009C493D"/>
    <w:rsid w:val="009C7CE7"/>
    <w:rsid w:val="00A00DEE"/>
    <w:rsid w:val="00A01F60"/>
    <w:rsid w:val="00A02842"/>
    <w:rsid w:val="00A04A7C"/>
    <w:rsid w:val="00A10CC3"/>
    <w:rsid w:val="00A1702C"/>
    <w:rsid w:val="00A172CD"/>
    <w:rsid w:val="00A30B8C"/>
    <w:rsid w:val="00A30CD4"/>
    <w:rsid w:val="00A33A87"/>
    <w:rsid w:val="00A60AED"/>
    <w:rsid w:val="00A633FB"/>
    <w:rsid w:val="00A64B71"/>
    <w:rsid w:val="00A6686D"/>
    <w:rsid w:val="00A71AD9"/>
    <w:rsid w:val="00A74F7D"/>
    <w:rsid w:val="00A97BCA"/>
    <w:rsid w:val="00AA24EA"/>
    <w:rsid w:val="00AB3051"/>
    <w:rsid w:val="00AC74DB"/>
    <w:rsid w:val="00AD045F"/>
    <w:rsid w:val="00AD0E57"/>
    <w:rsid w:val="00AE1F83"/>
    <w:rsid w:val="00AE2D0E"/>
    <w:rsid w:val="00AF2B8E"/>
    <w:rsid w:val="00AF67EB"/>
    <w:rsid w:val="00B15B07"/>
    <w:rsid w:val="00B1773E"/>
    <w:rsid w:val="00B200B0"/>
    <w:rsid w:val="00B435E7"/>
    <w:rsid w:val="00B436A9"/>
    <w:rsid w:val="00B51028"/>
    <w:rsid w:val="00B7332C"/>
    <w:rsid w:val="00B87358"/>
    <w:rsid w:val="00B9135F"/>
    <w:rsid w:val="00BA0BF8"/>
    <w:rsid w:val="00BA2469"/>
    <w:rsid w:val="00BA7EA8"/>
    <w:rsid w:val="00BC582F"/>
    <w:rsid w:val="00C02633"/>
    <w:rsid w:val="00C0287B"/>
    <w:rsid w:val="00C151ED"/>
    <w:rsid w:val="00C2044F"/>
    <w:rsid w:val="00C20E8A"/>
    <w:rsid w:val="00C247AB"/>
    <w:rsid w:val="00C24D7A"/>
    <w:rsid w:val="00C40BF6"/>
    <w:rsid w:val="00C433AC"/>
    <w:rsid w:val="00C500F2"/>
    <w:rsid w:val="00C558E8"/>
    <w:rsid w:val="00C6037B"/>
    <w:rsid w:val="00C6375B"/>
    <w:rsid w:val="00C6593D"/>
    <w:rsid w:val="00C73088"/>
    <w:rsid w:val="00C8383A"/>
    <w:rsid w:val="00C838F8"/>
    <w:rsid w:val="00C937B7"/>
    <w:rsid w:val="00C94A6F"/>
    <w:rsid w:val="00CA30A8"/>
    <w:rsid w:val="00CA77D0"/>
    <w:rsid w:val="00CA7AAC"/>
    <w:rsid w:val="00CB224D"/>
    <w:rsid w:val="00CB5E3B"/>
    <w:rsid w:val="00CC77F4"/>
    <w:rsid w:val="00CF7B08"/>
    <w:rsid w:val="00D14B4A"/>
    <w:rsid w:val="00D15344"/>
    <w:rsid w:val="00D23192"/>
    <w:rsid w:val="00D362B7"/>
    <w:rsid w:val="00D472C8"/>
    <w:rsid w:val="00D47374"/>
    <w:rsid w:val="00D7077B"/>
    <w:rsid w:val="00D7185B"/>
    <w:rsid w:val="00D851B4"/>
    <w:rsid w:val="00D86CE1"/>
    <w:rsid w:val="00DC1AD9"/>
    <w:rsid w:val="00DC270D"/>
    <w:rsid w:val="00DC4E75"/>
    <w:rsid w:val="00DC7287"/>
    <w:rsid w:val="00DD040E"/>
    <w:rsid w:val="00DD48B9"/>
    <w:rsid w:val="00E16CC7"/>
    <w:rsid w:val="00E242A3"/>
    <w:rsid w:val="00E321F0"/>
    <w:rsid w:val="00E37925"/>
    <w:rsid w:val="00E43FFE"/>
    <w:rsid w:val="00E449E1"/>
    <w:rsid w:val="00E46BFD"/>
    <w:rsid w:val="00E47F7A"/>
    <w:rsid w:val="00E54733"/>
    <w:rsid w:val="00E60942"/>
    <w:rsid w:val="00E636FA"/>
    <w:rsid w:val="00E6745F"/>
    <w:rsid w:val="00EA43EE"/>
    <w:rsid w:val="00EB050C"/>
    <w:rsid w:val="00EC0C24"/>
    <w:rsid w:val="00EC102E"/>
    <w:rsid w:val="00ED58D1"/>
    <w:rsid w:val="00EE3E3E"/>
    <w:rsid w:val="00EE4D48"/>
    <w:rsid w:val="00EE52B5"/>
    <w:rsid w:val="00EF0CF7"/>
    <w:rsid w:val="00EF3B0C"/>
    <w:rsid w:val="00F0039E"/>
    <w:rsid w:val="00F10BD6"/>
    <w:rsid w:val="00F202C4"/>
    <w:rsid w:val="00F27662"/>
    <w:rsid w:val="00F42FA8"/>
    <w:rsid w:val="00F532E5"/>
    <w:rsid w:val="00F60A7A"/>
    <w:rsid w:val="00F610D9"/>
    <w:rsid w:val="00F66751"/>
    <w:rsid w:val="00F7026D"/>
    <w:rsid w:val="00F76E70"/>
    <w:rsid w:val="00F87033"/>
    <w:rsid w:val="00FA4E3B"/>
    <w:rsid w:val="00FA6166"/>
    <w:rsid w:val="00FB5B02"/>
    <w:rsid w:val="00FD0BE6"/>
    <w:rsid w:val="00FE464D"/>
    <w:rsid w:val="00FE5602"/>
    <w:rsid w:val="00FE6CBD"/>
    <w:rsid w:val="00FE6D60"/>
    <w:rsid w:val="00FF3350"/>
    <w:rsid w:val="00FF43D5"/>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67F2A"/>
  <w15:chartTrackingRefBased/>
  <w15:docId w15:val="{24724EA7-4B34-C948-A246-B55D442B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12C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2C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A30CD4"/>
    <w:pPr>
      <w:keepNext/>
      <w:keepLines/>
      <w:tabs>
        <w:tab w:val="left" w:pos="567"/>
      </w:tabs>
      <w:snapToGrid w:val="0"/>
      <w:spacing w:after="240" w:line="240" w:lineRule="auto"/>
      <w:outlineLvl w:val="2"/>
    </w:pPr>
    <w:rPr>
      <w:rFonts w:ascii="Arial" w:eastAsia="Arial Unicode MS" w:hAnsi="Arial" w:cs="Times New Roman"/>
      <w:b/>
      <w:bCs/>
      <w:snapToGrid w:val="0"/>
    </w:rPr>
  </w:style>
  <w:style w:type="paragraph" w:styleId="Heading7">
    <w:name w:val="heading 7"/>
    <w:basedOn w:val="Normal"/>
    <w:next w:val="Normal"/>
    <w:link w:val="Heading7Char"/>
    <w:qFormat/>
    <w:rsid w:val="00606BC6"/>
    <w:pPr>
      <w:keepNext/>
      <w:widowControl w:val="0"/>
      <w:tabs>
        <w:tab w:val="left" w:pos="567"/>
      </w:tabs>
      <w:adjustRightInd w:val="0"/>
      <w:snapToGrid w:val="0"/>
      <w:spacing w:after="0" w:line="360" w:lineRule="atLeast"/>
      <w:jc w:val="both"/>
      <w:textAlignment w:val="baseline"/>
      <w:outlineLvl w:val="6"/>
    </w:pPr>
    <w:rPr>
      <w:rFonts w:ascii="Arial" w:eastAsia="Times New Roman" w:hAnsi="Arial" w:cs="Times New Roman"/>
      <w:snapToGrid w:val="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1D"/>
    <w:pPr>
      <w:ind w:left="720"/>
      <w:contextualSpacing/>
    </w:pPr>
  </w:style>
  <w:style w:type="character" w:customStyle="1" w:styleId="Heading3Char">
    <w:name w:val="Heading 3 Char"/>
    <w:basedOn w:val="DefaultParagraphFont"/>
    <w:link w:val="Heading3"/>
    <w:rsid w:val="00A30CD4"/>
    <w:rPr>
      <w:rFonts w:ascii="Arial" w:eastAsia="Arial Unicode MS" w:hAnsi="Arial" w:cs="Times New Roman"/>
      <w:b/>
      <w:bCs/>
      <w:snapToGrid w:val="0"/>
      <w:lang w:val="en-GB"/>
    </w:rPr>
  </w:style>
  <w:style w:type="paragraph" w:styleId="Header">
    <w:name w:val="header"/>
    <w:basedOn w:val="Normal"/>
    <w:link w:val="HeaderChar"/>
    <w:unhideWhenUsed/>
    <w:rsid w:val="0011621D"/>
    <w:pPr>
      <w:tabs>
        <w:tab w:val="center" w:pos="4703"/>
        <w:tab w:val="right" w:pos="9406"/>
      </w:tabs>
      <w:spacing w:after="0" w:line="240" w:lineRule="auto"/>
    </w:pPr>
  </w:style>
  <w:style w:type="character" w:customStyle="1" w:styleId="HeaderChar">
    <w:name w:val="Header Char"/>
    <w:basedOn w:val="DefaultParagraphFont"/>
    <w:link w:val="Header"/>
    <w:rsid w:val="0011621D"/>
  </w:style>
  <w:style w:type="paragraph" w:styleId="Footer">
    <w:name w:val="footer"/>
    <w:basedOn w:val="Normal"/>
    <w:link w:val="FooterChar"/>
    <w:uiPriority w:val="99"/>
    <w:unhideWhenUsed/>
    <w:rsid w:val="0011621D"/>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621D"/>
  </w:style>
  <w:style w:type="paragraph" w:customStyle="1" w:styleId="Marge">
    <w:name w:val="Marge"/>
    <w:basedOn w:val="Normal"/>
    <w:link w:val="MargeChar"/>
    <w:rsid w:val="0011621D"/>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har">
    <w:name w:val="Marge Char"/>
    <w:basedOn w:val="DefaultParagraphFont"/>
    <w:link w:val="Marge"/>
    <w:rsid w:val="0011621D"/>
    <w:rPr>
      <w:rFonts w:ascii="Arial" w:eastAsia="Times New Roman" w:hAnsi="Arial" w:cs="Times New Roman"/>
      <w:snapToGrid w:val="0"/>
      <w:szCs w:val="24"/>
      <w:lang w:val="en-GB"/>
    </w:rPr>
  </w:style>
  <w:style w:type="paragraph" w:styleId="BalloonText">
    <w:name w:val="Balloon Text"/>
    <w:basedOn w:val="Normal"/>
    <w:link w:val="BalloonTextChar"/>
    <w:uiPriority w:val="99"/>
    <w:semiHidden/>
    <w:unhideWhenUsed/>
    <w:rsid w:val="00116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1D"/>
    <w:rPr>
      <w:rFonts w:ascii="Segoe UI" w:hAnsi="Segoe UI" w:cs="Segoe UI"/>
      <w:sz w:val="18"/>
      <w:szCs w:val="18"/>
    </w:rPr>
  </w:style>
  <w:style w:type="paragraph" w:customStyle="1" w:styleId="Normal1">
    <w:name w:val="Normal1"/>
    <w:rsid w:val="0011621D"/>
    <w:pPr>
      <w:spacing w:after="0" w:line="276" w:lineRule="auto"/>
    </w:pPr>
    <w:rPr>
      <w:rFonts w:ascii="Arial" w:eastAsia="Arial" w:hAnsi="Arial" w:cs="Arial"/>
      <w:lang w:val="nl"/>
    </w:rPr>
  </w:style>
  <w:style w:type="paragraph" w:customStyle="1" w:styleId="normal10">
    <w:name w:val="normal1"/>
    <w:basedOn w:val="Normal"/>
    <w:rsid w:val="00116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621D"/>
  </w:style>
  <w:style w:type="paragraph" w:styleId="FootnoteText">
    <w:name w:val="footnote text"/>
    <w:basedOn w:val="Normal"/>
    <w:link w:val="FootnoteTextChar"/>
    <w:uiPriority w:val="99"/>
    <w:semiHidden/>
    <w:unhideWhenUsed/>
    <w:rsid w:val="00E63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6FA"/>
    <w:rPr>
      <w:sz w:val="20"/>
      <w:szCs w:val="20"/>
    </w:rPr>
  </w:style>
  <w:style w:type="character" w:styleId="FootnoteReference">
    <w:name w:val="footnote reference"/>
    <w:basedOn w:val="DefaultParagraphFont"/>
    <w:uiPriority w:val="99"/>
    <w:unhideWhenUsed/>
    <w:rsid w:val="00E636FA"/>
    <w:rPr>
      <w:vertAlign w:val="superscript"/>
    </w:rPr>
  </w:style>
  <w:style w:type="character" w:styleId="Hyperlink">
    <w:name w:val="Hyperlink"/>
    <w:basedOn w:val="DefaultParagraphFont"/>
    <w:uiPriority w:val="99"/>
    <w:rsid w:val="003C3F83"/>
    <w:rPr>
      <w:color w:val="0563C1" w:themeColor="hyperlink"/>
      <w:u w:val="single"/>
    </w:rPr>
  </w:style>
  <w:style w:type="table" w:styleId="TableGrid">
    <w:name w:val="Table Grid"/>
    <w:basedOn w:val="TableNormal"/>
    <w:uiPriority w:val="39"/>
    <w:rsid w:val="00FA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E7A21"/>
  </w:style>
  <w:style w:type="character" w:styleId="CommentReference">
    <w:name w:val="annotation reference"/>
    <w:basedOn w:val="DefaultParagraphFont"/>
    <w:unhideWhenUsed/>
    <w:rsid w:val="00D47374"/>
    <w:rPr>
      <w:sz w:val="16"/>
      <w:szCs w:val="16"/>
    </w:rPr>
  </w:style>
  <w:style w:type="paragraph" w:styleId="CommentText">
    <w:name w:val="annotation text"/>
    <w:basedOn w:val="Normal"/>
    <w:link w:val="CommentTextChar"/>
    <w:unhideWhenUsed/>
    <w:rsid w:val="00D47374"/>
    <w:pPr>
      <w:spacing w:line="240" w:lineRule="auto"/>
    </w:pPr>
    <w:rPr>
      <w:sz w:val="20"/>
      <w:szCs w:val="20"/>
    </w:rPr>
  </w:style>
  <w:style w:type="character" w:customStyle="1" w:styleId="CommentTextChar">
    <w:name w:val="Comment Text Char"/>
    <w:basedOn w:val="DefaultParagraphFont"/>
    <w:link w:val="CommentText"/>
    <w:rsid w:val="00D47374"/>
    <w:rPr>
      <w:sz w:val="20"/>
      <w:szCs w:val="20"/>
    </w:rPr>
  </w:style>
  <w:style w:type="paragraph" w:styleId="CommentSubject">
    <w:name w:val="annotation subject"/>
    <w:basedOn w:val="CommentText"/>
    <w:next w:val="CommentText"/>
    <w:link w:val="CommentSubjectChar"/>
    <w:uiPriority w:val="99"/>
    <w:semiHidden/>
    <w:unhideWhenUsed/>
    <w:rsid w:val="00D47374"/>
    <w:rPr>
      <w:b/>
      <w:bCs/>
    </w:rPr>
  </w:style>
  <w:style w:type="character" w:customStyle="1" w:styleId="CommentSubjectChar">
    <w:name w:val="Comment Subject Char"/>
    <w:basedOn w:val="CommentTextChar"/>
    <w:link w:val="CommentSubject"/>
    <w:uiPriority w:val="99"/>
    <w:semiHidden/>
    <w:rsid w:val="00D47374"/>
    <w:rPr>
      <w:b/>
      <w:bCs/>
      <w:sz w:val="20"/>
      <w:szCs w:val="20"/>
    </w:rPr>
  </w:style>
  <w:style w:type="paragraph" w:styleId="Revision">
    <w:name w:val="Revision"/>
    <w:hidden/>
    <w:uiPriority w:val="99"/>
    <w:semiHidden/>
    <w:rsid w:val="00D47374"/>
    <w:pPr>
      <w:spacing w:after="0" w:line="240" w:lineRule="auto"/>
    </w:pPr>
  </w:style>
  <w:style w:type="character" w:styleId="FollowedHyperlink">
    <w:name w:val="FollowedHyperlink"/>
    <w:basedOn w:val="DefaultParagraphFont"/>
    <w:uiPriority w:val="99"/>
    <w:semiHidden/>
    <w:unhideWhenUsed/>
    <w:rsid w:val="00600331"/>
    <w:rPr>
      <w:color w:val="954F72" w:themeColor="followedHyperlink"/>
      <w:u w:val="single"/>
    </w:rPr>
  </w:style>
  <w:style w:type="character" w:customStyle="1" w:styleId="Heading1Char">
    <w:name w:val="Heading 1 Char"/>
    <w:basedOn w:val="DefaultParagraphFont"/>
    <w:link w:val="Heading1"/>
    <w:rsid w:val="00812C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2C2F"/>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rsid w:val="00606BC6"/>
    <w:rPr>
      <w:rFonts w:ascii="Arial" w:eastAsia="Times New Roman" w:hAnsi="Arial" w:cs="Times New Roman"/>
      <w:snapToGrid w:val="0"/>
      <w:szCs w:val="24"/>
      <w:u w:val="single"/>
      <w:lang w:val="en-GB"/>
    </w:rPr>
  </w:style>
  <w:style w:type="character" w:customStyle="1" w:styleId="UnresolvedMention1">
    <w:name w:val="Unresolved Mention1"/>
    <w:basedOn w:val="DefaultParagraphFont"/>
    <w:uiPriority w:val="99"/>
    <w:semiHidden/>
    <w:unhideWhenUsed/>
    <w:rsid w:val="00142A14"/>
    <w:rPr>
      <w:color w:val="605E5C"/>
      <w:shd w:val="clear" w:color="auto" w:fill="E1DFDD"/>
    </w:rPr>
  </w:style>
  <w:style w:type="paragraph" w:customStyle="1" w:styleId="Default">
    <w:name w:val="Default"/>
    <w:rsid w:val="00EE52B5"/>
    <w:pPr>
      <w:autoSpaceDE w:val="0"/>
      <w:autoSpaceDN w:val="0"/>
      <w:adjustRightInd w:val="0"/>
      <w:spacing w:after="0" w:line="240" w:lineRule="auto"/>
    </w:pPr>
    <w:rPr>
      <w:rFonts w:ascii="Arial" w:hAnsi="Arial" w:cs="Arial"/>
      <w:color w:val="000000"/>
      <w:sz w:val="24"/>
      <w:szCs w:val="24"/>
      <w:lang w:val="fr-FR"/>
    </w:rPr>
  </w:style>
  <w:style w:type="paragraph" w:styleId="Caption">
    <w:name w:val="caption"/>
    <w:basedOn w:val="Normal"/>
    <w:next w:val="Normal"/>
    <w:uiPriority w:val="35"/>
    <w:unhideWhenUsed/>
    <w:qFormat/>
    <w:rsid w:val="00545254"/>
    <w:pPr>
      <w:spacing w:after="200" w:line="240" w:lineRule="auto"/>
    </w:pPr>
    <w:rPr>
      <w:rFonts w:eastAsiaTheme="minorEastAsia"/>
      <w:i/>
      <w:iCs/>
      <w:color w:val="44546A" w:themeColor="text2"/>
      <w:sz w:val="18"/>
      <w:szCs w:val="18"/>
      <w:lang w:val="fr-FR" w:eastAsia="zh-CN"/>
    </w:rPr>
  </w:style>
  <w:style w:type="table" w:customStyle="1" w:styleId="TableGrid1">
    <w:name w:val="Table Grid1"/>
    <w:basedOn w:val="TableNormal"/>
    <w:next w:val="TableGrid"/>
    <w:uiPriority w:val="39"/>
    <w:rsid w:val="00545254"/>
    <w:pPr>
      <w:spacing w:after="0" w:line="240" w:lineRule="auto"/>
    </w:pPr>
    <w:rPr>
      <w:rFonts w:eastAsia="DengXia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60DB7"/>
    <w:rPr>
      <w:color w:val="605E5C"/>
      <w:shd w:val="clear" w:color="auto" w:fill="E1DFDD"/>
    </w:rPr>
  </w:style>
  <w:style w:type="character" w:customStyle="1" w:styleId="UnresolvedMention3">
    <w:name w:val="Unresolved Mention3"/>
    <w:basedOn w:val="DefaultParagraphFont"/>
    <w:uiPriority w:val="99"/>
    <w:semiHidden/>
    <w:unhideWhenUsed/>
    <w:rsid w:val="002C21D8"/>
    <w:rPr>
      <w:color w:val="605E5C"/>
      <w:shd w:val="clear" w:color="auto" w:fill="E1DFDD"/>
    </w:rPr>
  </w:style>
  <w:style w:type="character" w:customStyle="1" w:styleId="hgkelc">
    <w:name w:val="hgkelc"/>
    <w:basedOn w:val="DefaultParagraphFont"/>
    <w:rsid w:val="00072A3C"/>
  </w:style>
  <w:style w:type="paragraph" w:styleId="BodyText2">
    <w:name w:val="Body Text 2"/>
    <w:basedOn w:val="Normal"/>
    <w:link w:val="BodyText2Char"/>
    <w:rsid w:val="000B7937"/>
    <w:pPr>
      <w:tabs>
        <w:tab w:val="left" w:pos="567"/>
      </w:tabs>
      <w:snapToGrid w:val="0"/>
      <w:spacing w:after="0" w:line="240" w:lineRule="auto"/>
    </w:pPr>
    <w:rPr>
      <w:rFonts w:ascii="Times New Roman" w:eastAsia="Times New Roman" w:hAnsi="Times New Roman" w:cs="Times New Roman"/>
      <w:i/>
      <w:iCs/>
      <w:snapToGrid w:val="0"/>
      <w:color w:val="000000"/>
      <w:sz w:val="24"/>
      <w:szCs w:val="24"/>
    </w:rPr>
  </w:style>
  <w:style w:type="character" w:customStyle="1" w:styleId="BodyText2Char">
    <w:name w:val="Body Text 2 Char"/>
    <w:basedOn w:val="DefaultParagraphFont"/>
    <w:link w:val="BodyText2"/>
    <w:rsid w:val="000B7937"/>
    <w:rPr>
      <w:rFonts w:ascii="Times New Roman" w:eastAsia="Times New Roman" w:hAnsi="Times New Roman" w:cs="Times New Roman"/>
      <w:i/>
      <w:iCs/>
      <w:snapToGrid w:val="0"/>
      <w:color w:val="000000"/>
      <w:sz w:val="24"/>
      <w:szCs w:val="24"/>
      <w:lang w:val="en-GB"/>
    </w:rPr>
  </w:style>
  <w:style w:type="paragraph" w:customStyle="1" w:styleId="Quick1">
    <w:name w:val="Quick 1."/>
    <w:basedOn w:val="Normal"/>
    <w:rsid w:val="000B7937"/>
    <w:pPr>
      <w:widowControl w:val="0"/>
      <w:numPr>
        <w:numId w:val="8"/>
      </w:numPr>
      <w:spacing w:after="0" w:line="240" w:lineRule="auto"/>
      <w:jc w:val="both"/>
    </w:pPr>
    <w:rPr>
      <w:rFonts w:ascii="Times New Roman" w:eastAsia="Times New Roman" w:hAnsi="Times New Roman" w:cs="Times New Roman"/>
      <w:snapToGrid w:val="0"/>
      <w:lang w:val="en-AU"/>
    </w:rPr>
  </w:style>
  <w:style w:type="paragraph" w:customStyle="1" w:styleId="Style2">
    <w:name w:val="Style2"/>
    <w:basedOn w:val="Normal"/>
    <w:link w:val="Style2Car"/>
    <w:qFormat/>
    <w:rsid w:val="000B7937"/>
    <w:pPr>
      <w:shd w:val="clear" w:color="auto" w:fill="FFFFFF"/>
      <w:tabs>
        <w:tab w:val="num" w:pos="1400"/>
      </w:tabs>
      <w:spacing w:after="240" w:line="240" w:lineRule="auto"/>
      <w:ind w:left="720"/>
      <w:jc w:val="both"/>
    </w:pPr>
    <w:rPr>
      <w:rFonts w:ascii="Arial" w:eastAsia="Times New Roman" w:hAnsi="Arial" w:cs="Times New Roman"/>
      <w:iCs/>
      <w:snapToGrid w:val="0"/>
    </w:rPr>
  </w:style>
  <w:style w:type="character" w:customStyle="1" w:styleId="Style2Car">
    <w:name w:val="Style2 Car"/>
    <w:basedOn w:val="DefaultParagraphFont"/>
    <w:link w:val="Style2"/>
    <w:rsid w:val="000B7937"/>
    <w:rPr>
      <w:rFonts w:ascii="Arial" w:eastAsia="Times New Roman" w:hAnsi="Arial" w:cs="Times New Roman"/>
      <w:iCs/>
      <w:snapToGrid w:val="0"/>
      <w:shd w:val="clear" w:color="auto" w:fill="FFFFFF"/>
      <w:lang w:val="en-GB"/>
    </w:rPr>
  </w:style>
  <w:style w:type="character" w:styleId="UnresolvedMention">
    <w:name w:val="Unresolved Mention"/>
    <w:basedOn w:val="DefaultParagraphFont"/>
    <w:uiPriority w:val="99"/>
    <w:semiHidden/>
    <w:unhideWhenUsed/>
    <w:rsid w:val="00EE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8034">
      <w:bodyDiv w:val="1"/>
      <w:marLeft w:val="0"/>
      <w:marRight w:val="0"/>
      <w:marTop w:val="0"/>
      <w:marBottom w:val="0"/>
      <w:divBdr>
        <w:top w:val="none" w:sz="0" w:space="0" w:color="auto"/>
        <w:left w:val="none" w:sz="0" w:space="0" w:color="auto"/>
        <w:bottom w:val="none" w:sz="0" w:space="0" w:color="auto"/>
        <w:right w:val="none" w:sz="0" w:space="0" w:color="auto"/>
      </w:divBdr>
    </w:div>
    <w:div w:id="126824192">
      <w:bodyDiv w:val="1"/>
      <w:marLeft w:val="0"/>
      <w:marRight w:val="0"/>
      <w:marTop w:val="0"/>
      <w:marBottom w:val="0"/>
      <w:divBdr>
        <w:top w:val="none" w:sz="0" w:space="0" w:color="auto"/>
        <w:left w:val="none" w:sz="0" w:space="0" w:color="auto"/>
        <w:bottom w:val="none" w:sz="0" w:space="0" w:color="auto"/>
        <w:right w:val="none" w:sz="0" w:space="0" w:color="auto"/>
      </w:divBdr>
    </w:div>
    <w:div w:id="204372279">
      <w:bodyDiv w:val="1"/>
      <w:marLeft w:val="0"/>
      <w:marRight w:val="0"/>
      <w:marTop w:val="0"/>
      <w:marBottom w:val="0"/>
      <w:divBdr>
        <w:top w:val="none" w:sz="0" w:space="0" w:color="auto"/>
        <w:left w:val="none" w:sz="0" w:space="0" w:color="auto"/>
        <w:bottom w:val="none" w:sz="0" w:space="0" w:color="auto"/>
        <w:right w:val="none" w:sz="0" w:space="0" w:color="auto"/>
      </w:divBdr>
    </w:div>
    <w:div w:id="350767265">
      <w:bodyDiv w:val="1"/>
      <w:marLeft w:val="0"/>
      <w:marRight w:val="0"/>
      <w:marTop w:val="0"/>
      <w:marBottom w:val="0"/>
      <w:divBdr>
        <w:top w:val="none" w:sz="0" w:space="0" w:color="auto"/>
        <w:left w:val="none" w:sz="0" w:space="0" w:color="auto"/>
        <w:bottom w:val="none" w:sz="0" w:space="0" w:color="auto"/>
        <w:right w:val="none" w:sz="0" w:space="0" w:color="auto"/>
      </w:divBdr>
    </w:div>
    <w:div w:id="373771593">
      <w:bodyDiv w:val="1"/>
      <w:marLeft w:val="0"/>
      <w:marRight w:val="0"/>
      <w:marTop w:val="0"/>
      <w:marBottom w:val="0"/>
      <w:divBdr>
        <w:top w:val="none" w:sz="0" w:space="0" w:color="auto"/>
        <w:left w:val="none" w:sz="0" w:space="0" w:color="auto"/>
        <w:bottom w:val="none" w:sz="0" w:space="0" w:color="auto"/>
        <w:right w:val="none" w:sz="0" w:space="0" w:color="auto"/>
      </w:divBdr>
    </w:div>
    <w:div w:id="953515530">
      <w:bodyDiv w:val="1"/>
      <w:marLeft w:val="0"/>
      <w:marRight w:val="0"/>
      <w:marTop w:val="0"/>
      <w:marBottom w:val="0"/>
      <w:divBdr>
        <w:top w:val="none" w:sz="0" w:space="0" w:color="auto"/>
        <w:left w:val="none" w:sz="0" w:space="0" w:color="auto"/>
        <w:bottom w:val="none" w:sz="0" w:space="0" w:color="auto"/>
        <w:right w:val="none" w:sz="0" w:space="0" w:color="auto"/>
      </w:divBdr>
    </w:div>
    <w:div w:id="1066874910">
      <w:bodyDiv w:val="1"/>
      <w:marLeft w:val="0"/>
      <w:marRight w:val="0"/>
      <w:marTop w:val="0"/>
      <w:marBottom w:val="0"/>
      <w:divBdr>
        <w:top w:val="none" w:sz="0" w:space="0" w:color="auto"/>
        <w:left w:val="none" w:sz="0" w:space="0" w:color="auto"/>
        <w:bottom w:val="none" w:sz="0" w:space="0" w:color="auto"/>
        <w:right w:val="none" w:sz="0" w:space="0" w:color="auto"/>
      </w:divBdr>
    </w:div>
    <w:div w:id="1099108957">
      <w:bodyDiv w:val="1"/>
      <w:marLeft w:val="0"/>
      <w:marRight w:val="0"/>
      <w:marTop w:val="0"/>
      <w:marBottom w:val="0"/>
      <w:divBdr>
        <w:top w:val="none" w:sz="0" w:space="0" w:color="auto"/>
        <w:left w:val="none" w:sz="0" w:space="0" w:color="auto"/>
        <w:bottom w:val="none" w:sz="0" w:space="0" w:color="auto"/>
        <w:right w:val="none" w:sz="0" w:space="0" w:color="auto"/>
      </w:divBdr>
    </w:div>
    <w:div w:id="1176387220">
      <w:bodyDiv w:val="1"/>
      <w:marLeft w:val="0"/>
      <w:marRight w:val="0"/>
      <w:marTop w:val="0"/>
      <w:marBottom w:val="0"/>
      <w:divBdr>
        <w:top w:val="none" w:sz="0" w:space="0" w:color="auto"/>
        <w:left w:val="none" w:sz="0" w:space="0" w:color="auto"/>
        <w:bottom w:val="none" w:sz="0" w:space="0" w:color="auto"/>
        <w:right w:val="none" w:sz="0" w:space="0" w:color="auto"/>
      </w:divBdr>
    </w:div>
    <w:div w:id="1195540122">
      <w:bodyDiv w:val="1"/>
      <w:marLeft w:val="0"/>
      <w:marRight w:val="0"/>
      <w:marTop w:val="0"/>
      <w:marBottom w:val="0"/>
      <w:divBdr>
        <w:top w:val="none" w:sz="0" w:space="0" w:color="auto"/>
        <w:left w:val="none" w:sz="0" w:space="0" w:color="auto"/>
        <w:bottom w:val="none" w:sz="0" w:space="0" w:color="auto"/>
        <w:right w:val="none" w:sz="0" w:space="0" w:color="auto"/>
      </w:divBdr>
    </w:div>
    <w:div w:id="1365015648">
      <w:bodyDiv w:val="1"/>
      <w:marLeft w:val="0"/>
      <w:marRight w:val="0"/>
      <w:marTop w:val="0"/>
      <w:marBottom w:val="0"/>
      <w:divBdr>
        <w:top w:val="none" w:sz="0" w:space="0" w:color="auto"/>
        <w:left w:val="none" w:sz="0" w:space="0" w:color="auto"/>
        <w:bottom w:val="none" w:sz="0" w:space="0" w:color="auto"/>
        <w:right w:val="none" w:sz="0" w:space="0" w:color="auto"/>
      </w:divBdr>
    </w:div>
    <w:div w:id="1379469550">
      <w:bodyDiv w:val="1"/>
      <w:marLeft w:val="0"/>
      <w:marRight w:val="0"/>
      <w:marTop w:val="0"/>
      <w:marBottom w:val="0"/>
      <w:divBdr>
        <w:top w:val="none" w:sz="0" w:space="0" w:color="auto"/>
        <w:left w:val="none" w:sz="0" w:space="0" w:color="auto"/>
        <w:bottom w:val="none" w:sz="0" w:space="0" w:color="auto"/>
        <w:right w:val="none" w:sz="0" w:space="0" w:color="auto"/>
      </w:divBdr>
    </w:div>
    <w:div w:id="1419448514">
      <w:bodyDiv w:val="1"/>
      <w:marLeft w:val="0"/>
      <w:marRight w:val="0"/>
      <w:marTop w:val="0"/>
      <w:marBottom w:val="0"/>
      <w:divBdr>
        <w:top w:val="none" w:sz="0" w:space="0" w:color="auto"/>
        <w:left w:val="none" w:sz="0" w:space="0" w:color="auto"/>
        <w:bottom w:val="none" w:sz="0" w:space="0" w:color="auto"/>
        <w:right w:val="none" w:sz="0" w:space="0" w:color="auto"/>
      </w:divBdr>
    </w:div>
    <w:div w:id="1546867632">
      <w:bodyDiv w:val="1"/>
      <w:marLeft w:val="0"/>
      <w:marRight w:val="0"/>
      <w:marTop w:val="0"/>
      <w:marBottom w:val="0"/>
      <w:divBdr>
        <w:top w:val="none" w:sz="0" w:space="0" w:color="auto"/>
        <w:left w:val="none" w:sz="0" w:space="0" w:color="auto"/>
        <w:bottom w:val="none" w:sz="0" w:space="0" w:color="auto"/>
        <w:right w:val="none" w:sz="0" w:space="0" w:color="auto"/>
      </w:divBdr>
    </w:div>
    <w:div w:id="1556241182">
      <w:bodyDiv w:val="1"/>
      <w:marLeft w:val="0"/>
      <w:marRight w:val="0"/>
      <w:marTop w:val="0"/>
      <w:marBottom w:val="0"/>
      <w:divBdr>
        <w:top w:val="none" w:sz="0" w:space="0" w:color="auto"/>
        <w:left w:val="none" w:sz="0" w:space="0" w:color="auto"/>
        <w:bottom w:val="none" w:sz="0" w:space="0" w:color="auto"/>
        <w:right w:val="none" w:sz="0" w:space="0" w:color="auto"/>
      </w:divBdr>
    </w:div>
    <w:div w:id="1646162364">
      <w:bodyDiv w:val="1"/>
      <w:marLeft w:val="0"/>
      <w:marRight w:val="0"/>
      <w:marTop w:val="0"/>
      <w:marBottom w:val="0"/>
      <w:divBdr>
        <w:top w:val="none" w:sz="0" w:space="0" w:color="auto"/>
        <w:left w:val="none" w:sz="0" w:space="0" w:color="auto"/>
        <w:bottom w:val="none" w:sz="0" w:space="0" w:color="auto"/>
        <w:right w:val="none" w:sz="0" w:space="0" w:color="auto"/>
      </w:divBdr>
    </w:div>
    <w:div w:id="1687906599">
      <w:bodyDiv w:val="1"/>
      <w:marLeft w:val="0"/>
      <w:marRight w:val="0"/>
      <w:marTop w:val="0"/>
      <w:marBottom w:val="0"/>
      <w:divBdr>
        <w:top w:val="none" w:sz="0" w:space="0" w:color="auto"/>
        <w:left w:val="none" w:sz="0" w:space="0" w:color="auto"/>
        <w:bottom w:val="none" w:sz="0" w:space="0" w:color="auto"/>
        <w:right w:val="none" w:sz="0" w:space="0" w:color="auto"/>
      </w:divBdr>
    </w:div>
    <w:div w:id="1689216034">
      <w:bodyDiv w:val="1"/>
      <w:marLeft w:val="0"/>
      <w:marRight w:val="0"/>
      <w:marTop w:val="0"/>
      <w:marBottom w:val="0"/>
      <w:divBdr>
        <w:top w:val="none" w:sz="0" w:space="0" w:color="auto"/>
        <w:left w:val="none" w:sz="0" w:space="0" w:color="auto"/>
        <w:bottom w:val="none" w:sz="0" w:space="0" w:color="auto"/>
        <w:right w:val="none" w:sz="0" w:space="0" w:color="auto"/>
      </w:divBdr>
    </w:div>
    <w:div w:id="1735539862">
      <w:bodyDiv w:val="1"/>
      <w:marLeft w:val="0"/>
      <w:marRight w:val="0"/>
      <w:marTop w:val="0"/>
      <w:marBottom w:val="0"/>
      <w:divBdr>
        <w:top w:val="none" w:sz="0" w:space="0" w:color="auto"/>
        <w:left w:val="none" w:sz="0" w:space="0" w:color="auto"/>
        <w:bottom w:val="none" w:sz="0" w:space="0" w:color="auto"/>
        <w:right w:val="none" w:sz="0" w:space="0" w:color="auto"/>
      </w:divBdr>
    </w:div>
    <w:div w:id="1787850861">
      <w:bodyDiv w:val="1"/>
      <w:marLeft w:val="0"/>
      <w:marRight w:val="0"/>
      <w:marTop w:val="0"/>
      <w:marBottom w:val="0"/>
      <w:divBdr>
        <w:top w:val="none" w:sz="0" w:space="0" w:color="auto"/>
        <w:left w:val="none" w:sz="0" w:space="0" w:color="auto"/>
        <w:bottom w:val="none" w:sz="0" w:space="0" w:color="auto"/>
        <w:right w:val="none" w:sz="0" w:space="0" w:color="auto"/>
      </w:divBdr>
    </w:div>
    <w:div w:id="1949652064">
      <w:bodyDiv w:val="1"/>
      <w:marLeft w:val="0"/>
      <w:marRight w:val="0"/>
      <w:marTop w:val="0"/>
      <w:marBottom w:val="0"/>
      <w:divBdr>
        <w:top w:val="none" w:sz="0" w:space="0" w:color="auto"/>
        <w:left w:val="none" w:sz="0" w:space="0" w:color="auto"/>
        <w:bottom w:val="none" w:sz="0" w:space="0" w:color="auto"/>
        <w:right w:val="none" w:sz="0" w:space="0" w:color="auto"/>
      </w:divBdr>
    </w:div>
    <w:div w:id="19842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26779" TargetMode="External"/><Relationship Id="rId13" Type="http://schemas.openxmlformats.org/officeDocument/2006/relationships/hyperlink" Target="https://oceanexpert.org/event/2855"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unesdoc.unesco.org/ark:/48223/pf0000368020.locale=en" TargetMode="External"/><Relationship Id="rId17" Type="http://schemas.openxmlformats.org/officeDocument/2006/relationships/hyperlink" Target="https://unesdoc.unesco.org/ark:/48223/pf0000374576.locale=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esdoc.unesco.org/ark:/48223/pf0000374421.locale=en" TargetMode="External"/><Relationship Id="rId20" Type="http://schemas.openxmlformats.org/officeDocument/2006/relationships/hyperlink" Target="https://unesdoc.unesco.org/ark:/48223/pf0000374540.local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58"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unesdoc.unesco.org/in/documentViewer.xhtml?v=2.1.196&amp;id=p::usmarcdef_0000372267&amp;file=/in/rest/annotationSVC/DownloadWatermarkedAttachment/attach_import_700a4644-4eaa-4f02-b906-ce3ab4e757b2%3F_%3D372267eng.pdf&amp;updateUrl=updateUrl6582&amp;ark=/ark:/48223/pf0000372267/PDF/372267eng.pdf.multi&amp;fullScreen=true&amp;locale=en"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oc-unesco.org/index.php?option=com_oe&amp;task=viewDocumentRecord&amp;docID=22215"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0004F-7224-404F-B7F9-DA9D338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3353</Words>
  <Characters>18444</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Isensee</dc:creator>
  <cp:keywords/>
  <dc:description/>
  <cp:lastModifiedBy>Boned, Patrice</cp:lastModifiedBy>
  <cp:revision>4</cp:revision>
  <cp:lastPrinted>2020-12-02T14:51:00Z</cp:lastPrinted>
  <dcterms:created xsi:type="dcterms:W3CDTF">2020-12-09T09:49:00Z</dcterms:created>
  <dcterms:modified xsi:type="dcterms:W3CDTF">2020-12-09T16:52:00Z</dcterms:modified>
</cp:coreProperties>
</file>