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7"/>
      </w:tblGrid>
      <w:tr w:rsidR="009C4841" w:rsidRPr="0072165A" w14:paraId="29CE6A5F" w14:textId="77777777" w:rsidTr="00A1702C">
        <w:trPr>
          <w:jc w:val="center"/>
        </w:trPr>
        <w:tc>
          <w:tcPr>
            <w:tcW w:w="8237" w:type="dxa"/>
            <w:tcMar>
              <w:top w:w="170" w:type="dxa"/>
              <w:left w:w="170" w:type="dxa"/>
              <w:bottom w:w="170" w:type="dxa"/>
              <w:right w:w="170" w:type="dxa"/>
            </w:tcMar>
          </w:tcPr>
          <w:p w14:paraId="4275C14B" w14:textId="77777777" w:rsidR="0011621D" w:rsidRPr="0072165A" w:rsidRDefault="0011621D" w:rsidP="00383A1D">
            <w:pPr>
              <w:pStyle w:val="Marge"/>
              <w:adjustRightInd w:val="0"/>
              <w:jc w:val="center"/>
              <w:rPr>
                <w:rFonts w:cs="Arial"/>
                <w:szCs w:val="22"/>
                <w:lang w:val="ru-RU"/>
              </w:rPr>
            </w:pPr>
            <w:r>
              <w:rPr>
                <w:rFonts w:cs="Arial"/>
                <w:szCs w:val="22"/>
                <w:u w:val="single"/>
                <w:lang w:val="ru"/>
              </w:rPr>
              <w:t>Резюме</w:t>
            </w:r>
          </w:p>
          <w:p w14:paraId="624FC892" w14:textId="43480697" w:rsidR="0011621D" w:rsidRPr="0072165A" w:rsidRDefault="005537DE" w:rsidP="009164D2">
            <w:pPr>
              <w:pStyle w:val="CommentText"/>
              <w:adjustRightInd w:val="0"/>
              <w:snapToGrid w:val="0"/>
              <w:spacing w:after="60"/>
              <w:jc w:val="both"/>
              <w:rPr>
                <w:rFonts w:ascii="Arial" w:eastAsia="Times New Roman" w:hAnsi="Arial" w:cs="Arial"/>
                <w:snapToGrid w:val="0"/>
                <w:sz w:val="22"/>
                <w:szCs w:val="22"/>
                <w:lang w:val="ru-RU"/>
              </w:rPr>
            </w:pPr>
            <w:r>
              <w:rPr>
                <w:rFonts w:ascii="Arial" w:eastAsia="Times New Roman" w:hAnsi="Arial" w:cs="Arial"/>
                <w:snapToGrid w:val="0"/>
                <w:sz w:val="22"/>
                <w:szCs w:val="22"/>
                <w:lang w:val="ru"/>
              </w:rPr>
              <w:t xml:space="preserve">Настоящее краткое уточнение дополняет доклад Исполнительного секретаря, сделанный им на 53-й сессии Исполнительного совета МОК и представленный в документе </w:t>
            </w:r>
            <w:hyperlink r:id="rId8" w:history="1">
              <w:r>
                <w:rPr>
                  <w:rStyle w:val="Hyperlink"/>
                  <w:rFonts w:ascii="Arial" w:eastAsia="Times New Roman" w:hAnsi="Arial" w:cs="Arial"/>
                  <w:snapToGrid w:val="0"/>
                  <w:sz w:val="22"/>
                  <w:szCs w:val="22"/>
                  <w:lang w:val="ru"/>
                </w:rPr>
                <w:t>IOC/EC-53/3.1.Doc(1)</w:t>
              </w:r>
            </w:hyperlink>
            <w:r>
              <w:rPr>
                <w:rFonts w:ascii="Arial" w:eastAsia="Times New Roman" w:hAnsi="Arial" w:cs="Arial"/>
                <w:snapToGrid w:val="0"/>
                <w:sz w:val="22"/>
                <w:szCs w:val="22"/>
                <w:lang w:val="ru"/>
              </w:rPr>
              <w:t xml:space="preserve">. Оно освещает работу, проделанную в течение увеличенного по причине переноса 53-ей секции межсессионного периода, и содержит соображения Исполнительного секретаря по поводу проблем, с которыми столкнулась Комиссия, и перспектив, а также обновленную информацию о докладах, для удобства представленных для руководящих органов ЮНЕСКО в приложениях к настоящему документу. </w:t>
            </w:r>
          </w:p>
        </w:tc>
      </w:tr>
    </w:tbl>
    <w:p w14:paraId="78CCB11E" w14:textId="77777777" w:rsidR="0011621D" w:rsidRDefault="0011621D" w:rsidP="00C24D7A">
      <w:pPr>
        <w:pStyle w:val="Heading3"/>
        <w:adjustRightInd w:val="0"/>
        <w:spacing w:after="0"/>
        <w:rPr>
          <w:rFonts w:cs="Arial"/>
          <w:lang w:val="ru-RU"/>
        </w:rPr>
      </w:pPr>
    </w:p>
    <w:p w14:paraId="10228DC3" w14:textId="77777777" w:rsidR="003634B4" w:rsidRPr="003634B4" w:rsidRDefault="003634B4" w:rsidP="003634B4">
      <w:pPr>
        <w:rPr>
          <w:lang w:val="ru-RU"/>
        </w:rPr>
      </w:pPr>
    </w:p>
    <w:p w14:paraId="165E1A85" w14:textId="77777777" w:rsidR="003634B4" w:rsidRPr="003634B4" w:rsidRDefault="003634B4" w:rsidP="003634B4">
      <w:pPr>
        <w:rPr>
          <w:lang w:val="ru-RU"/>
        </w:rPr>
      </w:pPr>
    </w:p>
    <w:p w14:paraId="3BC6D284" w14:textId="77777777" w:rsidR="003634B4" w:rsidRPr="003634B4" w:rsidRDefault="003634B4" w:rsidP="003634B4">
      <w:pPr>
        <w:rPr>
          <w:lang w:val="ru-RU"/>
        </w:rPr>
      </w:pPr>
    </w:p>
    <w:p w14:paraId="32531077" w14:textId="77777777" w:rsidR="003634B4" w:rsidRPr="003634B4" w:rsidRDefault="003634B4" w:rsidP="003634B4">
      <w:pPr>
        <w:rPr>
          <w:lang w:val="ru-RU"/>
        </w:rPr>
      </w:pPr>
    </w:p>
    <w:p w14:paraId="4722DF23" w14:textId="77777777" w:rsidR="003634B4" w:rsidRDefault="003634B4" w:rsidP="003634B4">
      <w:pPr>
        <w:rPr>
          <w:rFonts w:ascii="Arial" w:eastAsia="Arial Unicode MS" w:hAnsi="Arial" w:cs="Arial"/>
          <w:b/>
          <w:bCs/>
          <w:snapToGrid w:val="0"/>
          <w:lang w:val="ru-RU"/>
        </w:rPr>
      </w:pPr>
    </w:p>
    <w:p w14:paraId="197CD171" w14:textId="5D2C346D" w:rsidR="003634B4" w:rsidRDefault="003634B4" w:rsidP="003634B4">
      <w:pPr>
        <w:tabs>
          <w:tab w:val="left" w:pos="7430"/>
        </w:tabs>
        <w:rPr>
          <w:rFonts w:ascii="Arial" w:eastAsia="Arial Unicode MS" w:hAnsi="Arial" w:cs="Arial"/>
          <w:b/>
          <w:bCs/>
          <w:snapToGrid w:val="0"/>
          <w:lang w:val="ru-RU"/>
        </w:rPr>
      </w:pPr>
      <w:r>
        <w:rPr>
          <w:rFonts w:ascii="Arial" w:eastAsia="Arial Unicode MS" w:hAnsi="Arial" w:cs="Arial"/>
          <w:b/>
          <w:bCs/>
          <w:snapToGrid w:val="0"/>
          <w:lang w:val="ru-RU"/>
        </w:rPr>
        <w:tab/>
      </w:r>
      <w:bookmarkStart w:id="0" w:name="_GoBack"/>
      <w:bookmarkEnd w:id="0"/>
    </w:p>
    <w:p w14:paraId="76C776F9" w14:textId="77777777" w:rsidR="003634B4" w:rsidRDefault="003634B4" w:rsidP="003634B4">
      <w:pPr>
        <w:rPr>
          <w:rFonts w:ascii="Arial" w:eastAsia="Arial Unicode MS" w:hAnsi="Arial" w:cs="Arial"/>
          <w:b/>
          <w:bCs/>
          <w:snapToGrid w:val="0"/>
          <w:lang w:val="ru-RU"/>
        </w:rPr>
      </w:pPr>
    </w:p>
    <w:p w14:paraId="6ED3967A" w14:textId="647BA721" w:rsidR="003634B4" w:rsidRPr="003634B4" w:rsidRDefault="003634B4" w:rsidP="003634B4">
      <w:pPr>
        <w:rPr>
          <w:lang w:val="ru-RU"/>
        </w:rPr>
        <w:sectPr w:rsidR="003634B4" w:rsidRPr="003634B4" w:rsidSect="00606BC6">
          <w:headerReference w:type="even" r:id="rId9"/>
          <w:headerReference w:type="default" r:id="rId10"/>
          <w:headerReference w:type="first" r:id="rId11"/>
          <w:pgSz w:w="11906" w:h="16838" w:code="9"/>
          <w:pgMar w:top="1418" w:right="1134" w:bottom="1134" w:left="1134" w:header="709" w:footer="709" w:gutter="0"/>
          <w:cols w:space="708"/>
          <w:titlePg/>
          <w:docGrid w:linePitch="360"/>
        </w:sectPr>
      </w:pPr>
    </w:p>
    <w:p w14:paraId="4640A99A" w14:textId="3C735730" w:rsidR="00812C2F" w:rsidRPr="0072165A" w:rsidRDefault="000B7937" w:rsidP="00383A1D">
      <w:pPr>
        <w:pStyle w:val="Heading1"/>
        <w:tabs>
          <w:tab w:val="left" w:pos="709"/>
        </w:tabs>
        <w:adjustRightInd w:val="0"/>
        <w:snapToGrid w:val="0"/>
        <w:spacing w:before="0" w:after="240" w:line="240" w:lineRule="auto"/>
        <w:rPr>
          <w:rFonts w:ascii="Arial" w:eastAsia="Verdana" w:hAnsi="Arial" w:cs="Arial"/>
          <w:b/>
          <w:bCs/>
          <w:color w:val="auto"/>
          <w:kern w:val="28"/>
          <w:sz w:val="22"/>
          <w:szCs w:val="22"/>
          <w:lang w:val="ru-RU"/>
        </w:rPr>
      </w:pPr>
      <w:r>
        <w:rPr>
          <w:rFonts w:ascii="Arial" w:eastAsia="Verdana" w:hAnsi="Arial" w:cs="Arial"/>
          <w:b/>
          <w:bCs/>
          <w:color w:val="auto"/>
          <w:kern w:val="28"/>
          <w:sz w:val="22"/>
          <w:szCs w:val="22"/>
          <w:lang w:val="ru"/>
        </w:rPr>
        <w:lastRenderedPageBreak/>
        <w:t>Краткая обновленная информация о проделанной работе</w:t>
      </w:r>
    </w:p>
    <w:p w14:paraId="1E94DD40" w14:textId="5A92D183" w:rsidR="00CA7AAC" w:rsidRPr="0072165A" w:rsidRDefault="000B7937" w:rsidP="007B4F94">
      <w:pPr>
        <w:pStyle w:val="Style2"/>
        <w:numPr>
          <w:ilvl w:val="0"/>
          <w:numId w:val="1"/>
        </w:numPr>
        <w:tabs>
          <w:tab w:val="left" w:pos="709"/>
        </w:tabs>
        <w:ind w:left="0" w:firstLine="0"/>
        <w:rPr>
          <w:rFonts w:cs="Arial"/>
          <w:snapToGrid/>
          <w:lang w:val="ru-RU"/>
        </w:rPr>
      </w:pPr>
      <w:r>
        <w:rPr>
          <w:iCs w:val="0"/>
          <w:snapToGrid/>
          <w:lang w:val="ru"/>
        </w:rPr>
        <w:t xml:space="preserve">В последнем полугодии основные усилия Комиссии были сосредоточены на подготовке </w:t>
      </w:r>
      <w:r>
        <w:rPr>
          <w:i/>
          <w:snapToGrid/>
          <w:lang w:val="ru"/>
        </w:rPr>
        <w:t xml:space="preserve">плана проведения Десятилетия Организации Объединенных </w:t>
      </w:r>
      <w:r>
        <w:rPr>
          <w:i/>
          <w:lang w:val="ru"/>
        </w:rPr>
        <w:t>Наций</w:t>
      </w:r>
      <w:r>
        <w:rPr>
          <w:i/>
          <w:snapToGrid/>
          <w:lang w:val="ru"/>
        </w:rPr>
        <w:t xml:space="preserve">, посвященного науке об океане в интересах устойчивого развития (2021-2030 гг.) </w:t>
      </w:r>
      <w:r>
        <w:rPr>
          <w:iCs w:val="0"/>
          <w:snapToGrid/>
          <w:lang w:val="ru"/>
        </w:rPr>
        <w:t>и созданию благоприятных условий для успешного начала Десятилетия. Благодаря двум экспертным оценкам начиная с марта</w:t>
      </w:r>
      <w:r>
        <w:rPr>
          <w:i/>
          <w:snapToGrid/>
          <w:lang w:val="ru"/>
        </w:rPr>
        <w:t>–</w:t>
      </w:r>
      <w:r>
        <w:rPr>
          <w:iCs w:val="0"/>
          <w:snapToGrid/>
          <w:lang w:val="ru"/>
        </w:rPr>
        <w:t xml:space="preserve">апреля первоначальный проект Плана проведения Десятилетия был доработан сначала до версии 1.0, а затем и до версии 2.0. Последняя версия была представлена на 75-й сессии Генеральной Ассамблеи ООН. В Плане проведения Десятилетия представлены ожидаемые результаты, цели и задачи, стоящие перед Десятилетием. В нем также прописаны механизмы его координации и мониторинга. В настоящий момент стоит двоякая задача: поддержать План с помощью конкретных научных материалов и инициатив и способствовать проведению мероприятий в рамках Десятилетия, направленных на привлечение государств, организаций и людей, одновременно осуществляя поиск финансирования, повышая заинтересованность и расширяя взаимодействие. В нем описывается то, как будет проходить Десятилетие, что в </w:t>
      </w:r>
      <w:proofErr w:type="gramStart"/>
      <w:r>
        <w:rPr>
          <w:iCs w:val="0"/>
          <w:snapToGrid/>
          <w:lang w:val="ru"/>
        </w:rPr>
        <w:t>конечном итоге</w:t>
      </w:r>
      <w:proofErr w:type="gramEnd"/>
      <w:r>
        <w:rPr>
          <w:iCs w:val="0"/>
          <w:snapToGrid/>
          <w:lang w:val="ru"/>
        </w:rPr>
        <w:t xml:space="preserve">, возможно, приведет мир к созданию науки в интересах океана, который нам нужен. Исполнительный секретарь глубоко благодарит команду, ответственную за подготовку Десятилетия, в рамках МОК, Группу планирования деятельности, связанной с Десятилетием, и многочисленных сторонников из числа государств-членов за их невероятно профессиональную, преданную и поистине неустанную работу и отличные достигнутые результаты. </w:t>
      </w:r>
    </w:p>
    <w:p w14:paraId="3C66516C" w14:textId="3183ACEE" w:rsidR="006B117D" w:rsidRPr="0072165A" w:rsidRDefault="005A17E9" w:rsidP="007B4F94">
      <w:pPr>
        <w:pStyle w:val="Style2"/>
        <w:numPr>
          <w:ilvl w:val="0"/>
          <w:numId w:val="1"/>
        </w:numPr>
        <w:tabs>
          <w:tab w:val="left" w:pos="709"/>
        </w:tabs>
        <w:ind w:left="0" w:firstLine="0"/>
        <w:rPr>
          <w:rFonts w:cs="Arial"/>
          <w:lang w:val="ru-RU"/>
        </w:rPr>
      </w:pPr>
      <w:r>
        <w:rPr>
          <w:rFonts w:cs="Arial"/>
          <w:iCs w:val="0"/>
          <w:snapToGrid/>
          <w:lang w:val="ru"/>
        </w:rPr>
        <w:t>От МОК потребуется не только осуществление координации Десятилетия. Также ожидается, что она приложит значительные усилия для реализации своих программ. Содействие могут оказывать различные программы и партнеры МОК, и, будем надеяться, что оно будет обширным и разнообразным. Одним из таких потенциальных вариантов содействия, над предложением которого Секретариат работает в настоящий момент, может стать доклад о состоянии Мирового океана (ДСМО, IOC/INF-1393). Такой доклад, координируемый МОК, ежегодно информировал бы международное сообщество об основных изменениях, происходящих в состоянии морской среды, в том что касается ее текущих физических, биогеохимических, биологических и экологических переменных параметров. Доклад подкреплялся бы обобщенными данными о наиболее важных изменениях, касающихся комплексного управления ресурсами Мирового океана, таких как процентная доля поверхности, охваченной зонально привязанными инструментами хозяйствования, системами наблюдений и т. п. Он способствовал бы общественному пониманию вопросов, связанных с Мировым океаном, и послужил бы механизмом мониторинга для вклада Десятилетия в его рациональное управление. Краткая предварительная схема потенциального доклада о состоянии Мирового океана будет представлена Совету. Однако полностью разработанное предложение по докладу о состоянии Мирового океана будет подготовлено, обсуждено с участием экспертного сообщества и государств-членов и представлено на рассмотрение на 31-й сессии Ассамблеи МОК.</w:t>
      </w:r>
    </w:p>
    <w:p w14:paraId="7C7CAF6D" w14:textId="482241A5" w:rsidR="006B117D" w:rsidRPr="0072165A" w:rsidRDefault="006B117D" w:rsidP="007B4F94">
      <w:pPr>
        <w:pStyle w:val="Style2"/>
        <w:numPr>
          <w:ilvl w:val="0"/>
          <w:numId w:val="1"/>
        </w:numPr>
        <w:tabs>
          <w:tab w:val="left" w:pos="709"/>
        </w:tabs>
        <w:ind w:left="0" w:firstLine="0"/>
        <w:rPr>
          <w:rFonts w:cs="Arial"/>
          <w:lang w:val="ru-RU"/>
        </w:rPr>
      </w:pPr>
      <w:r>
        <w:rPr>
          <w:rFonts w:cs="Arial"/>
          <w:iCs w:val="0"/>
          <w:snapToGrid/>
          <w:lang w:val="ru"/>
        </w:rPr>
        <w:t>В настоящий момент в ВЕСТПАК, МОКАРИБ и МОКАФРИКА ведется интенсивная работа по разработке научного содержания Десятилетия. В связи с этим успех установочной конференции Десятилетия для Африки, которая будет проведена в Египте в 2021 г., может стать важным событием с политической заинтересованностью всех участвующих государств-членов. МОК приняла участие в организованных ЮНЕСКО дискуссиях с Африканским Союзом. Эти дискуссии позволили еще лучше согласовать цели и создать условия для укрепления сотрудничества.</w:t>
      </w:r>
    </w:p>
    <w:p w14:paraId="1BD16A6C" w14:textId="38CB3C07" w:rsidR="000B7937" w:rsidRPr="0072165A" w:rsidRDefault="006B117D" w:rsidP="007B4F94">
      <w:pPr>
        <w:pStyle w:val="Style2"/>
        <w:numPr>
          <w:ilvl w:val="0"/>
          <w:numId w:val="1"/>
        </w:numPr>
        <w:tabs>
          <w:tab w:val="left" w:pos="709"/>
        </w:tabs>
        <w:ind w:left="0" w:firstLine="0"/>
        <w:rPr>
          <w:rFonts w:cs="Arial"/>
          <w:snapToGrid/>
          <w:lang w:val="ru-RU"/>
        </w:rPr>
      </w:pPr>
      <w:r>
        <w:rPr>
          <w:iCs w:val="0"/>
          <w:snapToGrid/>
          <w:lang w:val="ru"/>
        </w:rPr>
        <w:t xml:space="preserve">Дискуссии продолжились между Председателем МОК, Исполнительным секретарем, заместителем председателя МОК по избирательной группе IV и </w:t>
      </w:r>
      <w:proofErr w:type="gramStart"/>
      <w:r>
        <w:rPr>
          <w:iCs w:val="0"/>
          <w:snapToGrid/>
          <w:lang w:val="ru"/>
        </w:rPr>
        <w:t>председателем</w:t>
      </w:r>
      <w:proofErr w:type="gramEnd"/>
      <w:r>
        <w:rPr>
          <w:iCs w:val="0"/>
          <w:snapToGrid/>
          <w:lang w:val="ru"/>
        </w:rPr>
        <w:t xml:space="preserve"> и должностными лицами ИОСИНДИО. Они касались вопроса преобразования ИОСИНДИО в подкомиссию МОК в соответствии с решением, принятым на 30-й сессии Ассамблеи МОК в 2019 г. На начало 2021 года запланирована очень важная дискуссия с государствами-членами МОК, заинтересованными в Индийском океане. Ее цель — обсудить предложение и </w:t>
      </w:r>
      <w:r>
        <w:rPr>
          <w:iCs w:val="0"/>
          <w:snapToGrid/>
          <w:lang w:val="ru"/>
        </w:rPr>
        <w:lastRenderedPageBreak/>
        <w:t xml:space="preserve">заручиться их поддержкой, участием и заинтересованностью. Для достижения подлинной результативности и эффективности </w:t>
      </w:r>
      <w:r>
        <w:rPr>
          <w:iCs w:val="0"/>
          <w:lang w:val="ru"/>
        </w:rPr>
        <w:t>новая подкомиссия должна предоставить государствам-членам более широкие возможности для участия в региональных мероприятиях сообразно их приоритетам и потребностям. Ее работа также будет представлять интерес и иметь значение для некоторых стран МОКАФРИКА и ВЕСТПАК. 8-я сессия ИОСИНДИО, которая состоится в первом квартале 2021 года, является прекрасной возможностью для объединения государств-членов всего бассейна Индийского океана и не только, позволит уточнить планы, понять, какой вклад может внести новый орган в проведение Десятилетия и как он может повысить ценность многочисленных мероприятий в регионе. Предложение, полностью доработанное с учетом результатов этой дискуссии и сессии регионального комитета, может быть представлено на утверждение на 31-й сессии Ассамблеи МОК в июне 2021 г.</w:t>
      </w:r>
    </w:p>
    <w:p w14:paraId="6E31E289" w14:textId="2924CB43" w:rsidR="00FE5602" w:rsidRPr="0072165A" w:rsidRDefault="006B117D" w:rsidP="007B4F94">
      <w:pPr>
        <w:pStyle w:val="Style2"/>
        <w:numPr>
          <w:ilvl w:val="0"/>
          <w:numId w:val="1"/>
        </w:numPr>
        <w:tabs>
          <w:tab w:val="left" w:pos="709"/>
        </w:tabs>
        <w:ind w:left="0" w:firstLine="0"/>
        <w:rPr>
          <w:rFonts w:cs="Arial"/>
          <w:snapToGrid/>
          <w:lang w:val="ru-RU"/>
        </w:rPr>
      </w:pPr>
      <w:r>
        <w:rPr>
          <w:rFonts w:cs="Arial"/>
          <w:iCs w:val="0"/>
          <w:snapToGrid/>
          <w:lang w:val="ru"/>
        </w:rPr>
        <w:t xml:space="preserve">Что касается наблюдений, сообщество в настоящий момент обсуждает осуществление </w:t>
      </w:r>
      <w:r>
        <w:rPr>
          <w:rFonts w:cs="Arial"/>
          <w:i/>
          <w:snapToGrid/>
          <w:lang w:val="ru"/>
        </w:rPr>
        <w:t xml:space="preserve">стратегии ГСНО на период до 2030 г. </w:t>
      </w:r>
      <w:r>
        <w:rPr>
          <w:rFonts w:cs="Arial"/>
          <w:iCs w:val="0"/>
          <w:snapToGrid/>
          <w:lang w:val="ru"/>
        </w:rPr>
        <w:t>(</w:t>
      </w:r>
      <w:hyperlink r:id="rId12" w:history="1">
        <w:r>
          <w:rPr>
            <w:rStyle w:val="Hyperlink"/>
            <w:rFonts w:cs="Arial"/>
            <w:iCs w:val="0"/>
            <w:snapToGrid/>
            <w:lang w:val="ru"/>
          </w:rPr>
          <w:t>IOC/BRO/2019/5 rev.2</w:t>
        </w:r>
      </w:hyperlink>
      <w:r>
        <w:rPr>
          <w:rFonts w:cs="Arial"/>
          <w:iCs w:val="0"/>
          <w:snapToGrid/>
          <w:lang w:val="ru"/>
        </w:rPr>
        <w:t xml:space="preserve">) и планирует программу в рамках Десятилетия. Были проведены дискуссии с экспертами, посвященные </w:t>
      </w:r>
      <w:r>
        <w:rPr>
          <w:rFonts w:cs="Arial"/>
          <w:iCs w:val="0"/>
          <w:lang w:val="ru"/>
        </w:rPr>
        <w:t xml:space="preserve">потенциальным проблемам, ценности, последствиям и вариантам осуществления устойчивых океанографических наблюдений в исключительных экономических зонах. </w:t>
      </w:r>
      <w:r>
        <w:rPr>
          <w:rFonts w:cs="Arial"/>
          <w:iCs w:val="0"/>
          <w:snapToGrid/>
          <w:lang w:val="ru"/>
        </w:rPr>
        <w:t xml:space="preserve">Можно отметить успехи в разработке системы управления данными и информацией на базе Системы океанографических данных и информации «Каталог источников» (ОДИСКат) и платформы «Инфохаб-Океан». Продолжает расширяться информационная система по океаническому разнообразию (ОБИС). Отмечается большой прогресс в деле координации исследований по океаническому углероду. 14 декабря 2020 года будет представлен первый </w:t>
      </w:r>
      <w:r>
        <w:rPr>
          <w:rFonts w:cs="Arial"/>
          <w:i/>
          <w:snapToGrid/>
          <w:lang w:val="ru"/>
        </w:rPr>
        <w:t>Глобальный доклад о состоянии океанографии за 2020 год.</w:t>
      </w:r>
      <w:r>
        <w:rPr>
          <w:rFonts w:cs="Arial"/>
          <w:iCs w:val="0"/>
          <w:snapToGrid/>
          <w:lang w:val="ru"/>
        </w:rPr>
        <w:t xml:space="preserve"> Продолжается активная работа над проблемами закисления океана, деоксигенирования, вредоносного цветения водорослей и анализом долговременных рядов данных. Организованная совместно с МОК Всемирная программа исследования климата (ВПИК) делает шаги навстречу очень амбициозной программе работы, включающей исследования Мирового океана и климата. Программа МОК, посвященная цунами, расширяет деятельность по обеспечению готовности к цунами и способствует появлению новых провайдеров услуг по цунами. Отмечавшийся 5 ноября 2020 г. Всемирный день распространения информации о проблеме цунами стал поистине глобальным событием, а участие генерального директора ЮНЕСКО помогло привлечь внимание к Организации в этом контексте. Существенных успехов удалось добиться в обеспечении и применении государствами-членами методологических инструментов оценки прогресса и представления отчетности по показателям ЦУР 14.3.1 и 14.a, в отношении которых в рамках системы ООН на МОК возложена задача методической поддержки. Очень активная и эффективная работа ведется над расширением морского пространственного планирования, подготовкой к реализации нового этапа проекта «Глобальная академия "Океан-инструктор»» и в сфере грамотности в связанных с океаном вопросах. Была сформирована постоянная рабочая группа МОК по вопросам потребностей и вклада пользователей в продукты ГЕБКО.</w:t>
      </w:r>
    </w:p>
    <w:p w14:paraId="5DCF9A0B" w14:textId="45DF1532" w:rsidR="002964EF" w:rsidRPr="0072165A" w:rsidRDefault="008A3ECC" w:rsidP="007B4F94">
      <w:pPr>
        <w:pStyle w:val="Style2"/>
        <w:numPr>
          <w:ilvl w:val="0"/>
          <w:numId w:val="1"/>
        </w:numPr>
        <w:tabs>
          <w:tab w:val="left" w:pos="709"/>
        </w:tabs>
        <w:ind w:left="0" w:firstLine="0"/>
        <w:rPr>
          <w:rFonts w:cs="Arial"/>
          <w:snapToGrid/>
          <w:lang w:val="ru-RU"/>
        </w:rPr>
      </w:pPr>
      <w:r>
        <w:rPr>
          <w:rFonts w:cs="Arial"/>
          <w:iCs w:val="0"/>
          <w:snapToGrid/>
          <w:lang w:val="ru"/>
        </w:rPr>
        <w:t xml:space="preserve">Пандемия Covid-19 значительно повлияла на работу МОК, но не стала препятствием для работы команды. В связи с отменой или переносом на более поздний срок многих важных мероприятий, включая Конференцию ООН по проблемам океанов 2020 г., Секретариату пришлось проработать альтернативные варианты представления проекта плана проведения Десятилетия и второго издания </w:t>
      </w:r>
      <w:r>
        <w:rPr>
          <w:rFonts w:cs="Arial"/>
          <w:i/>
          <w:snapToGrid/>
          <w:lang w:val="ru"/>
        </w:rPr>
        <w:t xml:space="preserve">Глобального доклада о состоянии океанографии </w:t>
      </w:r>
      <w:r>
        <w:rPr>
          <w:rFonts w:cs="Arial"/>
          <w:iCs w:val="0"/>
          <w:snapToGrid/>
          <w:lang w:val="ru"/>
        </w:rPr>
        <w:t xml:space="preserve">(ГДСО) по случаю празднования 14 декабря 2020 года </w:t>
      </w:r>
      <w:hyperlink r:id="rId13" w:history="1">
        <w:r>
          <w:rPr>
            <w:rStyle w:val="Hyperlink"/>
            <w:rFonts w:cs="Arial"/>
            <w:iCs w:val="0"/>
            <w:snapToGrid/>
            <w:lang w:val="ru"/>
          </w:rPr>
          <w:t>60-й годовщины с момента создания Комиссии</w:t>
        </w:r>
      </w:hyperlink>
      <w:r>
        <w:rPr>
          <w:rFonts w:cs="Arial"/>
          <w:iCs w:val="0"/>
          <w:snapToGrid/>
          <w:lang w:val="ru"/>
        </w:rPr>
        <w:t xml:space="preserve">. В ходе исполнения программы Комиссии в 2020 году возник ряд трудностей и отсрочек, так </w:t>
      </w:r>
      <w:proofErr w:type="gramStart"/>
      <w:r>
        <w:rPr>
          <w:rFonts w:cs="Arial"/>
          <w:iCs w:val="0"/>
          <w:snapToGrid/>
          <w:lang w:val="ru"/>
        </w:rPr>
        <w:t>же</w:t>
      </w:r>
      <w:proofErr w:type="gramEnd"/>
      <w:r>
        <w:rPr>
          <w:rFonts w:cs="Arial"/>
          <w:iCs w:val="0"/>
          <w:snapToGrid/>
          <w:lang w:val="ru"/>
        </w:rPr>
        <w:t xml:space="preserve"> как и во всех программных секторах ЮНЕСКО, однако Секретариат оперативно оценил последствия пандемии для областей компетенции МОК и приложил все усилия для поиска решений. Были проведены опросы и анализ данных, касающихся последствий для сферы океанографических наблюдений и работы служб предупреждения о цунами и эвакуации. Долгосрочные последствия, связанные с финансовым обеспечением морской научно-исследовательской деятельности и способностью государств-членов выполнить свои обязательства в рамках ЦУР 14.a. будут оценены в ГДСО. В целом Секретариат обеспечил выполнение планов работы в 2018–2019 гг. в соответствии с бюджетными ассигнованиями и </w:t>
      </w:r>
      <w:r>
        <w:rPr>
          <w:rFonts w:cs="Arial"/>
          <w:iCs w:val="0"/>
          <w:snapToGrid/>
          <w:lang w:val="ru"/>
        </w:rPr>
        <w:lastRenderedPageBreak/>
        <w:t xml:space="preserve">целевыми показателями мобилизации ресурсов, утвержденными Исполнительным советом МОК в его </w:t>
      </w:r>
      <w:hyperlink r:id="rId14" w:history="1">
        <w:r>
          <w:rPr>
            <w:rFonts w:cs="Arial"/>
            <w:iCs w:val="0"/>
            <w:snapToGrid/>
            <w:color w:val="0000FF"/>
            <w:u w:val="single"/>
            <w:lang w:val="ru"/>
          </w:rPr>
          <w:t>резолюции EC-LI.2</w:t>
        </w:r>
      </w:hyperlink>
      <w:r>
        <w:rPr>
          <w:rFonts w:cs="Arial"/>
          <w:iCs w:val="0"/>
          <w:snapToGrid/>
          <w:lang w:val="ru"/>
        </w:rPr>
        <w:t xml:space="preserve">, а также разработал планы работы на  2020–2021 гг., руководствуясь </w:t>
      </w:r>
      <w:hyperlink r:id="rId15" w:anchor="%5B%7B%22num%22%3A196%2C%22gen%22%3A0%7D%2C%7B%22name%22%3A%22XYZ%22%7D%2C54%2C648%2C0%5D" w:history="1">
        <w:r>
          <w:rPr>
            <w:rStyle w:val="Hyperlink"/>
            <w:rFonts w:cs="Arial"/>
            <w:iCs w:val="0"/>
            <w:snapToGrid/>
            <w:lang w:val="ru"/>
          </w:rPr>
          <w:t>резолюцией XXX-3</w:t>
        </w:r>
      </w:hyperlink>
      <w:r>
        <w:rPr>
          <w:rFonts w:cs="Arial"/>
          <w:iCs w:val="0"/>
          <w:snapToGrid/>
          <w:lang w:val="ru"/>
        </w:rPr>
        <w:t>, содержащейся в документе IOC/EC</w:t>
      </w:r>
      <w:r>
        <w:rPr>
          <w:rFonts w:cs="Arial"/>
          <w:iCs w:val="0"/>
          <w:snapToGrid/>
          <w:lang w:val="ru"/>
        </w:rPr>
        <w:noBreakHyphen/>
        <w:t>53/3.1(2).</w:t>
      </w:r>
    </w:p>
    <w:p w14:paraId="1C138789" w14:textId="0F20160B" w:rsidR="00C247AB" w:rsidRPr="00E16CC7" w:rsidRDefault="00ED58D1" w:rsidP="007B4F94">
      <w:pPr>
        <w:pStyle w:val="Heading1"/>
        <w:tabs>
          <w:tab w:val="left" w:pos="709"/>
        </w:tabs>
        <w:adjustRightInd w:val="0"/>
        <w:snapToGrid w:val="0"/>
        <w:spacing w:before="0" w:after="240" w:line="240" w:lineRule="auto"/>
        <w:rPr>
          <w:rFonts w:ascii="Arial" w:eastAsia="Verdana" w:hAnsi="Arial" w:cs="Arial"/>
          <w:b/>
          <w:bCs/>
          <w:color w:val="auto"/>
          <w:kern w:val="28"/>
          <w:sz w:val="22"/>
          <w:szCs w:val="22"/>
        </w:rPr>
      </w:pPr>
      <w:r>
        <w:rPr>
          <w:rFonts w:ascii="Arial" w:eastAsia="Verdana" w:hAnsi="Arial" w:cs="Arial"/>
          <w:b/>
          <w:bCs/>
          <w:color w:val="auto"/>
          <w:kern w:val="28"/>
          <w:sz w:val="22"/>
          <w:szCs w:val="22"/>
          <w:lang w:val="ru"/>
        </w:rPr>
        <w:t>Проблемы и перспективы</w:t>
      </w:r>
    </w:p>
    <w:p w14:paraId="0F5377B2" w14:textId="789788E7" w:rsidR="00C247AB" w:rsidRPr="0072165A" w:rsidRDefault="00C247AB" w:rsidP="007B4F94">
      <w:pPr>
        <w:pStyle w:val="Style2"/>
        <w:numPr>
          <w:ilvl w:val="0"/>
          <w:numId w:val="1"/>
        </w:numPr>
        <w:tabs>
          <w:tab w:val="left" w:pos="709"/>
        </w:tabs>
        <w:ind w:left="0" w:firstLine="0"/>
        <w:rPr>
          <w:rFonts w:cs="Arial"/>
          <w:snapToGrid/>
          <w:lang w:val="ru-RU"/>
        </w:rPr>
      </w:pPr>
      <w:r>
        <w:rPr>
          <w:rFonts w:cs="Arial"/>
          <w:iCs w:val="0"/>
          <w:snapToGrid/>
          <w:lang w:val="ru"/>
        </w:rPr>
        <w:t xml:space="preserve">Среди перспективных направлений, от которых зависит будущее Мирового океана, можно выделить управление ресурсами Мирового океана, связь океана и климата, морское биологическое разнообразие и устойчивую экономику океана. </w:t>
      </w:r>
    </w:p>
    <w:p w14:paraId="7ED2BE6A" w14:textId="62BF3F59" w:rsidR="006B117D" w:rsidRPr="0072165A" w:rsidRDefault="00C247AB" w:rsidP="007B4F94">
      <w:pPr>
        <w:pStyle w:val="Style2"/>
        <w:numPr>
          <w:ilvl w:val="0"/>
          <w:numId w:val="1"/>
        </w:numPr>
        <w:tabs>
          <w:tab w:val="left" w:pos="709"/>
        </w:tabs>
        <w:ind w:left="0" w:firstLine="0"/>
        <w:rPr>
          <w:rFonts w:cs="Arial"/>
          <w:snapToGrid/>
          <w:lang w:val="ru-RU"/>
        </w:rPr>
      </w:pPr>
      <w:r>
        <w:rPr>
          <w:iCs w:val="0"/>
          <w:snapToGrid/>
          <w:lang w:val="ru"/>
        </w:rPr>
        <w:t xml:space="preserve">Эксперты в составе МОК приняли участие в подготовке </w:t>
      </w:r>
      <w:r>
        <w:rPr>
          <w:iCs w:val="0"/>
          <w:lang w:val="ru"/>
        </w:rPr>
        <w:t xml:space="preserve">специального доклада МГЭИК по теме </w:t>
      </w:r>
      <w:r>
        <w:rPr>
          <w:i/>
          <w:u w:val="single"/>
          <w:lang w:val="ru"/>
        </w:rPr>
        <w:t>«Океаны и криосфера в условиях изменения климата»</w:t>
      </w:r>
      <w:r>
        <w:rPr>
          <w:iCs w:val="0"/>
          <w:lang w:val="ru"/>
        </w:rPr>
        <w:t>.</w:t>
      </w:r>
      <w:r>
        <w:rPr>
          <w:iCs w:val="0"/>
          <w:snapToGrid/>
          <w:lang w:val="ru"/>
        </w:rPr>
        <w:t xml:space="preserve"> Делегация МОК, возглавляемая Председателем МОК, приняла участие в 25-й Конференции сторон РКИКООН в Мадриде в начале декабря 2019 года. Дискуссии, которые вызвал этот специальный доклад в ходе конференции, привели к тому, что в рамках Вспомогательного органа Конвенции для консультирования по научным и техническим аспектам (ВОКНТА) был открыт диалог РКИКООН по океану и климату. МОК приняла активное и заметное участие в первом диалоге, состоявшемся 2</w:t>
      </w:r>
      <w:r>
        <w:rPr>
          <w:i/>
          <w:snapToGrid/>
          <w:lang w:val="ru"/>
        </w:rPr>
        <w:t>–</w:t>
      </w:r>
      <w:r>
        <w:rPr>
          <w:iCs w:val="0"/>
          <w:snapToGrid/>
          <w:lang w:val="ru"/>
        </w:rPr>
        <w:t>3 декабря 2020 г., предложив Десятилетие в качестве платформы для укрепления научной основы для обсуждений вопросов океана и климата в РКИКООН.</w:t>
      </w:r>
    </w:p>
    <w:p w14:paraId="4BEC847B" w14:textId="13D21498" w:rsidR="000B7937" w:rsidRPr="0072165A" w:rsidRDefault="000B7937" w:rsidP="007B4F94">
      <w:pPr>
        <w:pStyle w:val="Style2"/>
        <w:numPr>
          <w:ilvl w:val="0"/>
          <w:numId w:val="1"/>
        </w:numPr>
        <w:tabs>
          <w:tab w:val="left" w:pos="709"/>
        </w:tabs>
        <w:ind w:left="0" w:firstLine="0"/>
        <w:rPr>
          <w:rFonts w:cs="Arial"/>
          <w:snapToGrid/>
          <w:lang w:val="ru-RU"/>
        </w:rPr>
      </w:pPr>
      <w:r>
        <w:rPr>
          <w:rFonts w:cs="Arial"/>
          <w:iCs w:val="0"/>
          <w:snapToGrid/>
          <w:lang w:val="ru"/>
        </w:rPr>
        <w:t xml:space="preserve">МОК активно участвовала в переговорном процессе, касающемся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 В октябре 2020 года Секретариат опубликовал неофициальный информационный документ об уже осуществленном и потенциальном вкладе МОК-ЮНЕСКО в процесс, связанный с БПНЮ (документ </w:t>
      </w:r>
      <w:hyperlink r:id="rId16" w:history="1">
        <w:r>
          <w:rPr>
            <w:rStyle w:val="Hyperlink"/>
            <w:rFonts w:cs="Arial"/>
            <w:iCs w:val="0"/>
            <w:shd w:val="clear" w:color="auto" w:fill="FFFFFF"/>
            <w:lang w:val="ru"/>
          </w:rPr>
          <w:t>IOC/INF-1387</w:t>
        </w:r>
      </w:hyperlink>
      <w:r>
        <w:rPr>
          <w:rFonts w:cs="Arial"/>
          <w:iCs w:val="0"/>
          <w:shd w:val="clear" w:color="auto" w:fill="FFFFFF"/>
          <w:lang w:val="ru"/>
        </w:rPr>
        <w:t xml:space="preserve">), с целью информирования о переговорном процессе. </w:t>
      </w:r>
    </w:p>
    <w:p w14:paraId="4BA334F4" w14:textId="6E67FE62" w:rsidR="000B7937" w:rsidRPr="0072165A" w:rsidRDefault="008A3ECC" w:rsidP="007B4F94">
      <w:pPr>
        <w:pStyle w:val="Style2"/>
        <w:numPr>
          <w:ilvl w:val="0"/>
          <w:numId w:val="1"/>
        </w:numPr>
        <w:tabs>
          <w:tab w:val="left" w:pos="709"/>
        </w:tabs>
        <w:ind w:left="0" w:firstLine="0"/>
        <w:rPr>
          <w:rFonts w:cs="Arial"/>
          <w:snapToGrid/>
          <w:lang w:val="ru-RU"/>
        </w:rPr>
      </w:pPr>
      <w:r>
        <w:rPr>
          <w:rFonts w:cs="Arial"/>
          <w:iCs w:val="0"/>
          <w:snapToGrid/>
          <w:lang w:val="ru"/>
        </w:rPr>
        <w:t xml:space="preserve">Существенный прогресс в осмыслении концепции комплексного управления ресурсами Мирового океана и создании ее прототипов был достигнут благодаря работе Группы высокого уровня по вопросу устойчивой экономики океана. Возникает концепция управления ресурсами Мирового океана, основанная на объективности и прозрачности, которые являются неотъемлемыми характеристиками науки и статистических данных. Эта концепция предполагает участие широкого ряда заинтересованных лиц, использование национальных учетных и экономических соображений для оценки океана и гармонизацию взаимоотношений человека с океаном посредством понятий этики и справедливости. Дискуссии и совместный мозговой штурм консультативной группы Группы высокого уровня продолжат определять направление исследований по устойчивому управлению океанами в рамках Десятилетия. </w:t>
      </w:r>
    </w:p>
    <w:p w14:paraId="2FE4F89A" w14:textId="5E5EC858" w:rsidR="008D7571" w:rsidRPr="0072165A" w:rsidRDefault="002964EF" w:rsidP="007B4F94">
      <w:pPr>
        <w:pStyle w:val="Style2"/>
        <w:numPr>
          <w:ilvl w:val="0"/>
          <w:numId w:val="1"/>
        </w:numPr>
        <w:tabs>
          <w:tab w:val="left" w:pos="709"/>
        </w:tabs>
        <w:ind w:left="0" w:firstLine="0"/>
        <w:rPr>
          <w:rFonts w:cs="Arial"/>
          <w:lang w:val="ru-RU"/>
        </w:rPr>
      </w:pPr>
      <w:r>
        <w:rPr>
          <w:rFonts w:cs="Arial"/>
          <w:iCs w:val="0"/>
          <w:snapToGrid/>
          <w:lang w:val="ru"/>
        </w:rPr>
        <w:t xml:space="preserve">Наиболее сложная для небольшого по составу Секретариата Комиссии задача состояла в том, чтобы мобилизовать не только внебюджетные средства на цели продолжения осуществления основных программ МОК, но и значительные дополнительные ресурсы, необходимые для выполнения Комиссией ее роли на этапе подготовки к проведению Десятилетия и расширения ею повестки дня Мирового океана. Улучшенное понимание роли Мирового океана в устойчивом развитии открывает новые горизонты. Десятилетие станет основным механизмом, который будет двигать МОК вперед. Символично, что этот новый период работы МОК на благо человечества совпал с 60-летием Комиссии. Обобщенный и направленный в будущее взгляд на роль МОК и на перспективы работы Комиссии будет представлен Исполнительным секретарем на 31-й сессии Ассамблеи МОК. </w:t>
      </w:r>
    </w:p>
    <w:p w14:paraId="4B5CA080" w14:textId="05853680" w:rsidR="00062DF5" w:rsidRPr="0072165A" w:rsidRDefault="00311569" w:rsidP="00794D56">
      <w:pPr>
        <w:pStyle w:val="Style2"/>
        <w:numPr>
          <w:ilvl w:val="0"/>
          <w:numId w:val="1"/>
        </w:numPr>
        <w:tabs>
          <w:tab w:val="left" w:pos="709"/>
        </w:tabs>
        <w:ind w:left="0" w:firstLine="0"/>
        <w:rPr>
          <w:rFonts w:cs="Arial"/>
          <w:lang w:val="ru-RU"/>
        </w:rPr>
      </w:pPr>
      <w:r w:rsidRPr="0072165A">
        <w:rPr>
          <w:rFonts w:cs="Arial"/>
          <w:iCs w:val="0"/>
          <w:lang w:val="ru"/>
        </w:rPr>
        <w:t xml:space="preserve">Исполнительный секретарь благодарит Председателя и должностных лиц за проявленную поддержку, руководство и </w:t>
      </w:r>
      <w:r w:rsidRPr="0072165A">
        <w:rPr>
          <w:rFonts w:cs="Arial"/>
          <w:iCs w:val="0"/>
          <w:snapToGrid/>
          <w:lang w:val="ru"/>
        </w:rPr>
        <w:t>понимание</w:t>
      </w:r>
      <w:r w:rsidRPr="0072165A">
        <w:rPr>
          <w:rFonts w:cs="Arial"/>
          <w:iCs w:val="0"/>
          <w:lang w:val="ru"/>
        </w:rPr>
        <w:t xml:space="preserve">, а также государства-члены и партнеров за их постоянно растущую заинтересованность и поддержку. Он также благодарит весь состав Секретариата за отличную работу в столь сложных условиях. </w:t>
      </w:r>
      <w:r w:rsidR="00062DF5" w:rsidRPr="0072165A">
        <w:rPr>
          <w:rFonts w:cs="Arial"/>
          <w:iCs w:val="0"/>
          <w:lang w:val="ru"/>
        </w:rPr>
        <w:br w:type="page"/>
      </w:r>
    </w:p>
    <w:p w14:paraId="2F56FE46" w14:textId="5A17F3F9" w:rsidR="00F42FA8" w:rsidRPr="0072165A" w:rsidRDefault="00F42FA8" w:rsidP="00205EA2">
      <w:pPr>
        <w:pBdr>
          <w:bottom w:val="single" w:sz="4" w:space="1" w:color="auto"/>
        </w:pBdr>
        <w:tabs>
          <w:tab w:val="right" w:pos="9638"/>
        </w:tabs>
        <w:rPr>
          <w:rFonts w:ascii="Arial" w:hAnsi="Arial" w:cs="Arial"/>
          <w:color w:val="000000"/>
          <w:lang w:val="ru-RU"/>
        </w:rPr>
      </w:pPr>
      <w:r>
        <w:rPr>
          <w:rFonts w:ascii="Arial" w:hAnsi="Arial" w:cs="Arial"/>
          <w:color w:val="000000"/>
          <w:lang w:val="ru"/>
        </w:rPr>
        <w:lastRenderedPageBreak/>
        <w:t>Приложение 1</w:t>
      </w:r>
      <w:r>
        <w:rPr>
          <w:rFonts w:ascii="Arial" w:hAnsi="Arial" w:cs="Arial"/>
          <w:i/>
          <w:iCs/>
          <w:color w:val="000000"/>
          <w:lang w:val="ru"/>
        </w:rPr>
        <w:t xml:space="preserve"> </w:t>
      </w:r>
      <w:r>
        <w:rPr>
          <w:rFonts w:ascii="Arial" w:hAnsi="Arial" w:cs="Arial"/>
          <w:i/>
          <w:iCs/>
          <w:color w:val="000000"/>
          <w:lang w:val="ru"/>
        </w:rPr>
        <w:tab/>
        <w:t>Только на английском языке</w:t>
      </w:r>
    </w:p>
    <w:p w14:paraId="5B6B2FDB" w14:textId="167784DB" w:rsidR="00F42FA8" w:rsidRPr="0072165A" w:rsidRDefault="00F42FA8" w:rsidP="00383A1D">
      <w:pPr>
        <w:autoSpaceDE w:val="0"/>
        <w:autoSpaceDN w:val="0"/>
        <w:adjustRightInd w:val="0"/>
        <w:spacing w:after="240" w:line="240" w:lineRule="auto"/>
        <w:rPr>
          <w:rFonts w:ascii="Arial" w:hAnsi="Arial" w:cs="Arial"/>
          <w:i/>
          <w:iCs/>
          <w:color w:val="000000"/>
          <w:lang w:val="ru-RU"/>
        </w:rPr>
      </w:pPr>
      <w:r>
        <w:rPr>
          <w:rFonts w:ascii="Arial" w:hAnsi="Arial" w:cs="Arial"/>
          <w:color w:val="000000"/>
          <w:lang w:val="ru"/>
        </w:rPr>
        <w:t xml:space="preserve">(выдержка из документа </w:t>
      </w:r>
      <w:hyperlink r:id="rId17" w:history="1">
        <w:r>
          <w:rPr>
            <w:rStyle w:val="Hyperlink"/>
            <w:rFonts w:ascii="Arial" w:hAnsi="Arial" w:cs="Arial"/>
            <w:lang w:val="ru"/>
          </w:rPr>
          <w:t>210 EX/4.I.INF</w:t>
        </w:r>
      </w:hyperlink>
      <w:r>
        <w:rPr>
          <w:rFonts w:ascii="Arial" w:hAnsi="Arial" w:cs="Arial"/>
          <w:color w:val="000000"/>
          <w:lang w:val="ru"/>
        </w:rPr>
        <w:t xml:space="preserve">, октябрь 2020 г.) </w:t>
      </w:r>
    </w:p>
    <w:p w14:paraId="57EAC76D" w14:textId="38675074" w:rsidR="0072165A" w:rsidRPr="007B4F94" w:rsidRDefault="0072165A" w:rsidP="0072165A">
      <w:pPr>
        <w:autoSpaceDE w:val="0"/>
        <w:autoSpaceDN w:val="0"/>
        <w:adjustRightInd w:val="0"/>
        <w:spacing w:after="240" w:line="240" w:lineRule="auto"/>
        <w:rPr>
          <w:rFonts w:ascii="Arial" w:hAnsi="Arial" w:cs="Arial"/>
          <w:i/>
          <w:iCs/>
          <w:color w:val="000000"/>
        </w:rPr>
      </w:pPr>
      <w:r w:rsidRPr="00383A1D">
        <w:rPr>
          <w:rFonts w:ascii="Arial" w:hAnsi="Arial" w:cs="Arial"/>
          <w:b/>
          <w:bCs/>
          <w:color w:val="000000"/>
          <w:lang w:val="en-US"/>
        </w:rPr>
        <w:t xml:space="preserve">Progress in the implementation of the </w:t>
      </w:r>
      <w:proofErr w:type="spellStart"/>
      <w:r w:rsidRPr="00383A1D">
        <w:rPr>
          <w:rFonts w:ascii="Arial" w:hAnsi="Arial" w:cs="Arial"/>
          <w:b/>
          <w:bCs/>
          <w:color w:val="000000"/>
          <w:lang w:val="en-US"/>
        </w:rPr>
        <w:t>programme</w:t>
      </w:r>
      <w:proofErr w:type="spellEnd"/>
      <w:r w:rsidRPr="00383A1D">
        <w:rPr>
          <w:rFonts w:ascii="Arial" w:hAnsi="Arial" w:cs="Arial"/>
          <w:b/>
          <w:bCs/>
          <w:color w:val="000000"/>
          <w:lang w:val="en-US"/>
        </w:rPr>
        <w:t xml:space="preserve"> adopted by the General Conference, during the period 1 January 2018 to 30 June 2020 – Intergovernmental Oceanographic Commission </w:t>
      </w:r>
    </w:p>
    <w:p w14:paraId="3BDECDED" w14:textId="64F18C6B" w:rsidR="00C6037B" w:rsidRPr="0072165A" w:rsidRDefault="0072165A" w:rsidP="0072165A">
      <w:pPr>
        <w:jc w:val="both"/>
        <w:rPr>
          <w:rFonts w:ascii="Arial" w:hAnsi="Arial" w:cs="Arial"/>
          <w:color w:val="000000"/>
          <w:lang w:val="en-US"/>
        </w:rPr>
      </w:pPr>
      <w:r w:rsidRPr="00393BC0">
        <w:rPr>
          <w:rFonts w:ascii="Arial" w:hAnsi="Arial" w:cs="Arial"/>
          <w:color w:val="000000"/>
          <w:lang w:val="en-US"/>
        </w:rPr>
        <w:t xml:space="preserve">This Summary Report has been consolidated based on reporting information entered in SISTER. It presents an account of progress towards the achievement of the 40 C/5 expected results assessed in terms of the performance indicators and related targets for each of the Major </w:t>
      </w:r>
      <w:proofErr w:type="spellStart"/>
      <w:r w:rsidRPr="00393BC0">
        <w:rPr>
          <w:rFonts w:ascii="Arial" w:hAnsi="Arial" w:cs="Arial"/>
          <w:color w:val="000000"/>
          <w:lang w:val="en-US"/>
        </w:rPr>
        <w:t>Programmes</w:t>
      </w:r>
      <w:proofErr w:type="spellEnd"/>
      <w:r w:rsidRPr="00393BC0">
        <w:rPr>
          <w:rFonts w:ascii="Arial" w:hAnsi="Arial" w:cs="Arial"/>
          <w:color w:val="000000"/>
          <w:lang w:val="en-US"/>
        </w:rPr>
        <w:t>, the IOC and the UNESCO Institute for Statistics. In addition, it presents summary assessments for each of the two Global Priorities, Africa and gender equality.</w:t>
      </w:r>
    </w:p>
    <w:p w14:paraId="2ED3483D" w14:textId="77777777" w:rsidR="0072165A" w:rsidRDefault="0072165A">
      <w:pPr>
        <w:rPr>
          <w:rFonts w:asciiTheme="minorBidi" w:hAnsiTheme="minorBidi"/>
          <w:lang w:val="en-US"/>
        </w:rPr>
      </w:pPr>
      <w:r>
        <w:rPr>
          <w:rFonts w:asciiTheme="minorBidi" w:hAnsiTheme="minorBidi"/>
          <w:lang w:val="en-US"/>
        </w:rPr>
        <w:br w:type="page"/>
      </w:r>
    </w:p>
    <w:p w14:paraId="3C445607" w14:textId="77777777" w:rsidR="0072165A" w:rsidRDefault="0072165A">
      <w:pPr>
        <w:rPr>
          <w:rFonts w:asciiTheme="minorBidi" w:hAnsiTheme="minorBidi"/>
          <w:lang w:val="en-US"/>
        </w:rPr>
      </w:pPr>
      <w:r>
        <w:rPr>
          <w:bCs/>
          <w:noProof/>
          <w:lang w:eastAsia="zh-TW"/>
        </w:rPr>
        <w:lastRenderedPageBreak/>
        <w:drawing>
          <wp:inline distT="0" distB="0" distL="0" distR="0" wp14:anchorId="53D3F7A4" wp14:editId="49E68D9A">
            <wp:extent cx="6120130" cy="888709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s de 210 EX_4.I.INF PIR_Page_1.jpg"/>
                    <pic:cNvPicPr/>
                  </pic:nvPicPr>
                  <pic:blipFill rotWithShape="1">
                    <a:blip r:embed="rId18">
                      <a:extLst>
                        <a:ext uri="{28A0092B-C50C-407E-A947-70E740481C1C}">
                          <a14:useLocalDpi xmlns:a14="http://schemas.microsoft.com/office/drawing/2010/main" val="0"/>
                        </a:ext>
                      </a:extLst>
                    </a:blip>
                    <a:srcRect l="6604" t="3587" r="5733" b="6399"/>
                    <a:stretch/>
                  </pic:blipFill>
                  <pic:spPr bwMode="auto">
                    <a:xfrm>
                      <a:off x="0" y="0"/>
                      <a:ext cx="6120130" cy="8887092"/>
                    </a:xfrm>
                    <a:prstGeom prst="rect">
                      <a:avLst/>
                    </a:prstGeom>
                    <a:ln>
                      <a:noFill/>
                    </a:ln>
                    <a:extLst>
                      <a:ext uri="{53640926-AAD7-44D8-BBD7-CCE9431645EC}">
                        <a14:shadowObscured xmlns:a14="http://schemas.microsoft.com/office/drawing/2010/main"/>
                      </a:ext>
                    </a:extLst>
                  </pic:spPr>
                </pic:pic>
              </a:graphicData>
            </a:graphic>
          </wp:inline>
        </w:drawing>
      </w:r>
    </w:p>
    <w:p w14:paraId="0744EE6E" w14:textId="77777777" w:rsidR="0072165A" w:rsidRDefault="0072165A">
      <w:pPr>
        <w:rPr>
          <w:rFonts w:asciiTheme="minorBidi" w:hAnsiTheme="minorBidi"/>
          <w:lang w:val="en-US"/>
        </w:rPr>
      </w:pPr>
      <w:r>
        <w:rPr>
          <w:bCs/>
          <w:noProof/>
          <w:lang w:eastAsia="zh-TW"/>
        </w:rPr>
        <w:lastRenderedPageBreak/>
        <w:drawing>
          <wp:inline distT="0" distB="0" distL="0" distR="0" wp14:anchorId="65B71F9D" wp14:editId="4B4B0F4C">
            <wp:extent cx="6120130" cy="8637301"/>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s de 210 EX_4.I.INF PIR_Page_2.jpg"/>
                    <pic:cNvPicPr/>
                  </pic:nvPicPr>
                  <pic:blipFill rotWithShape="1">
                    <a:blip r:embed="rId19">
                      <a:extLst>
                        <a:ext uri="{28A0092B-C50C-407E-A947-70E740481C1C}">
                          <a14:useLocalDpi xmlns:a14="http://schemas.microsoft.com/office/drawing/2010/main" val="0"/>
                        </a:ext>
                      </a:extLst>
                    </a:blip>
                    <a:srcRect l="6930" t="3510" r="6537" b="10132"/>
                    <a:stretch/>
                  </pic:blipFill>
                  <pic:spPr bwMode="auto">
                    <a:xfrm>
                      <a:off x="0" y="0"/>
                      <a:ext cx="6120130" cy="8637301"/>
                    </a:xfrm>
                    <a:prstGeom prst="rect">
                      <a:avLst/>
                    </a:prstGeom>
                    <a:ln>
                      <a:noFill/>
                    </a:ln>
                    <a:extLst>
                      <a:ext uri="{53640926-AAD7-44D8-BBD7-CCE9431645EC}">
                        <a14:shadowObscured xmlns:a14="http://schemas.microsoft.com/office/drawing/2010/main"/>
                      </a:ext>
                    </a:extLst>
                  </pic:spPr>
                </pic:pic>
              </a:graphicData>
            </a:graphic>
          </wp:inline>
        </w:drawing>
      </w:r>
    </w:p>
    <w:p w14:paraId="72FCBD13" w14:textId="77777777" w:rsidR="0072165A" w:rsidRDefault="0072165A">
      <w:pPr>
        <w:rPr>
          <w:rFonts w:asciiTheme="minorBidi" w:hAnsiTheme="minorBidi"/>
          <w:lang w:val="en-US"/>
        </w:rPr>
      </w:pPr>
      <w:r>
        <w:rPr>
          <w:rFonts w:asciiTheme="minorBidi" w:hAnsiTheme="minorBidi"/>
          <w:lang w:val="en-US"/>
        </w:rPr>
        <w:br w:type="page"/>
      </w:r>
    </w:p>
    <w:p w14:paraId="5B1C4A8C" w14:textId="77777777" w:rsidR="0072165A" w:rsidRDefault="0072165A" w:rsidP="0072165A">
      <w:pPr>
        <w:spacing w:line="240" w:lineRule="auto"/>
        <w:jc w:val="both"/>
        <w:rPr>
          <w:b/>
          <w:bCs/>
        </w:rPr>
      </w:pPr>
      <w:bookmarkStart w:id="2" w:name="_Hlk60652115"/>
      <w:r>
        <w:rPr>
          <w:b/>
          <w:bCs/>
        </w:rPr>
        <w:lastRenderedPageBreak/>
        <w:t>Global priority Africa</w:t>
      </w:r>
    </w:p>
    <w:p w14:paraId="6764C5D5" w14:textId="77777777" w:rsidR="0072165A" w:rsidRPr="00EB050C" w:rsidRDefault="0072165A" w:rsidP="0072165A">
      <w:pPr>
        <w:spacing w:line="240" w:lineRule="auto"/>
        <w:jc w:val="both"/>
        <w:rPr>
          <w:rFonts w:ascii="Arial" w:hAnsi="Arial" w:cs="Arial"/>
          <w:color w:val="000000"/>
          <w:lang w:val="en-US"/>
        </w:rPr>
      </w:pPr>
      <w:r w:rsidRPr="00EB050C">
        <w:rPr>
          <w:rFonts w:ascii="Arial" w:hAnsi="Arial" w:cs="Arial"/>
          <w:color w:val="000000"/>
          <w:lang w:val="en-US"/>
        </w:rPr>
        <w:t xml:space="preserve">The UN Decade of Ocean Science for Sustainable Development (2021-2030) is an exceptional opportunity for the region to strengthen its capacities in ocean research in support of the Blue Economy.  IOC partnered with the Western Indian Ocean Marine Science Association and the secretariat of the Nairobi Convention (UN Environment) to  organize “the Regional Consultation workshop for the UN Decade of Ocean Science for Sustainable Development 2021-2030 for Africa and the Adjacent Islands States” which was hosted by the Government of Kenya from 27-29 January 2020 in Nairobi, Kenya. The workshop offered crucial opportunity to identify regional needs and priorities in terms of transforming knowledge systems, accelerating transfer of marine technology, enabling training and education, fostering science-policy dialogues and building capacities, in alignment with the African Union’s initiatives. </w:t>
      </w:r>
    </w:p>
    <w:p w14:paraId="20066894" w14:textId="77777777" w:rsidR="0072165A" w:rsidRPr="00EB050C" w:rsidRDefault="0072165A" w:rsidP="0072165A">
      <w:pPr>
        <w:spacing w:line="240" w:lineRule="auto"/>
        <w:jc w:val="both"/>
        <w:rPr>
          <w:rFonts w:ascii="Arial" w:hAnsi="Arial" w:cs="Arial"/>
          <w:color w:val="000000"/>
          <w:lang w:val="en-US"/>
        </w:rPr>
      </w:pPr>
      <w:r w:rsidRPr="00EB050C">
        <w:rPr>
          <w:rFonts w:ascii="Arial" w:hAnsi="Arial" w:cs="Arial"/>
          <w:color w:val="000000"/>
          <w:lang w:val="en-US"/>
        </w:rPr>
        <w:t xml:space="preserve">Capacity development in marine science and technology continues to be a key focus for the IOC’s Sub Commission for Africa and the Adjacent States, with 3 Regional Training </w:t>
      </w:r>
      <w:proofErr w:type="spellStart"/>
      <w:r w:rsidRPr="00EB050C">
        <w:rPr>
          <w:rFonts w:ascii="Arial" w:hAnsi="Arial" w:cs="Arial"/>
          <w:color w:val="000000"/>
          <w:lang w:val="en-US"/>
        </w:rPr>
        <w:t>Centres</w:t>
      </w:r>
      <w:proofErr w:type="spellEnd"/>
      <w:r w:rsidRPr="00EB050C">
        <w:rPr>
          <w:rFonts w:ascii="Arial" w:hAnsi="Arial" w:cs="Arial"/>
          <w:color w:val="000000"/>
          <w:lang w:val="en-US"/>
        </w:rPr>
        <w:t xml:space="preserve"> established within the framework of the Ocean Teacher Academy </w:t>
      </w:r>
      <w:proofErr w:type="spellStart"/>
      <w:r w:rsidRPr="00EB050C">
        <w:rPr>
          <w:rFonts w:ascii="Arial" w:hAnsi="Arial" w:cs="Arial"/>
          <w:color w:val="000000"/>
          <w:lang w:val="en-US"/>
        </w:rPr>
        <w:t>programme</w:t>
      </w:r>
      <w:proofErr w:type="spellEnd"/>
      <w:r w:rsidRPr="00EB050C">
        <w:rPr>
          <w:rFonts w:ascii="Arial" w:hAnsi="Arial" w:cs="Arial"/>
          <w:color w:val="000000"/>
          <w:lang w:val="en-US"/>
        </w:rPr>
        <w:t xml:space="preserve"> in Kenya, Mozambique and Senegal. The </w:t>
      </w:r>
      <w:proofErr w:type="spellStart"/>
      <w:r w:rsidRPr="00EB050C">
        <w:rPr>
          <w:rFonts w:ascii="Arial" w:hAnsi="Arial" w:cs="Arial"/>
          <w:color w:val="000000"/>
          <w:lang w:val="en-US"/>
        </w:rPr>
        <w:t>centres</w:t>
      </w:r>
      <w:proofErr w:type="spellEnd"/>
      <w:r w:rsidRPr="00EB050C">
        <w:rPr>
          <w:rFonts w:ascii="Arial" w:hAnsi="Arial" w:cs="Arial"/>
          <w:color w:val="000000"/>
          <w:lang w:val="en-US"/>
        </w:rPr>
        <w:t xml:space="preserve"> organized 12 training courses, attended by more than 250 trainees from 27 countries. IOC organized 5 workshops on Marine Spatial Planning in English, French and Portuguese, attended by more than 200 participants from 20 Member States. A regional webinar on the development of the African regional node for the Ocean Information Hub (OIH) on 10 June 2020 gathered more than 100 participants. </w:t>
      </w:r>
    </w:p>
    <w:p w14:paraId="30E6B455" w14:textId="77777777" w:rsidR="0072165A" w:rsidRPr="00EB050C" w:rsidRDefault="0072165A" w:rsidP="0072165A">
      <w:pPr>
        <w:spacing w:line="240" w:lineRule="auto"/>
        <w:jc w:val="both"/>
        <w:rPr>
          <w:rFonts w:ascii="Arial" w:hAnsi="Arial" w:cs="Arial"/>
          <w:color w:val="000000"/>
          <w:lang w:val="en-US"/>
        </w:rPr>
      </w:pPr>
      <w:r w:rsidRPr="00EB050C">
        <w:rPr>
          <w:rFonts w:ascii="Arial" w:hAnsi="Arial" w:cs="Arial"/>
          <w:color w:val="000000"/>
          <w:lang w:val="en-US"/>
        </w:rPr>
        <w:t xml:space="preserve">The Second International Indian Ocean Expedition (2015-2020) offered an excellent opportunity for the member states from the region to strengthen their ocean observations capabilities. The government of South Africa provided its oceanographic research vessel, the SA Agulhas II, for two cruises, enabling participation of more than 50 marine scientists and students from Comoros, Egypt, Kenya, Madagascar, Mozambique, Nigeria, and Tanzania. </w:t>
      </w:r>
    </w:p>
    <w:p w14:paraId="1DA0EE0F" w14:textId="77777777" w:rsidR="0072165A" w:rsidRPr="00EB050C" w:rsidRDefault="0072165A" w:rsidP="0072165A">
      <w:pPr>
        <w:spacing w:line="240" w:lineRule="auto"/>
        <w:jc w:val="both"/>
        <w:rPr>
          <w:rFonts w:ascii="Arial" w:hAnsi="Arial" w:cs="Arial"/>
          <w:color w:val="000000"/>
          <w:lang w:val="en-US"/>
        </w:rPr>
      </w:pPr>
      <w:r w:rsidRPr="00EB050C">
        <w:rPr>
          <w:rFonts w:ascii="Arial" w:hAnsi="Arial" w:cs="Arial"/>
          <w:color w:val="000000"/>
          <w:lang w:val="en-US"/>
        </w:rPr>
        <w:t>Under the framework of the Indian Ocean Tsunami Warning and Mitigation System (IOTWMS), two initiatives deserve particular mention: (i) the capacity assessment of tsunami preparedness that provided a benchmark of the current status of tsunami warning and mitigation systems, identifying gaps, and prioritizing capacity development needs in 21 Member States and (ii) the Indian Ocean wide tsunami exercise (IOWave18). All African Member States bordering the Indian Ocean participated in IOWave18, with Tanzania, Kenya and Seychelles conducting community evacuations. Activities carried out under the Intergovernmental Coordination Group for the Tsunami Early Warning and Mitigation System in the North-eastern Atlantic, the Mediterranean and connected seas (ICG/NEAMTWS) were focused on enhancing tsunami warning capacities of African Member States bordering the Mediterranean Sea and Atlantic Ocean.</w:t>
      </w:r>
    </w:p>
    <w:p w14:paraId="41D96C5F" w14:textId="77777777" w:rsidR="0072165A" w:rsidRDefault="0072165A" w:rsidP="0072165A">
      <w:pPr>
        <w:spacing w:line="240" w:lineRule="auto"/>
        <w:jc w:val="both"/>
      </w:pPr>
      <w:r w:rsidRPr="00EB050C">
        <w:rPr>
          <w:b/>
          <w:bCs/>
        </w:rPr>
        <w:t>Global priority Gender equality</w:t>
      </w:r>
    </w:p>
    <w:p w14:paraId="4D1F57D2" w14:textId="77777777" w:rsidR="0072165A" w:rsidRPr="00EB050C" w:rsidRDefault="0072165A" w:rsidP="0072165A">
      <w:pPr>
        <w:spacing w:line="240" w:lineRule="auto"/>
        <w:jc w:val="both"/>
        <w:rPr>
          <w:rFonts w:ascii="Arial" w:hAnsi="Arial" w:cs="Arial"/>
          <w:color w:val="000000"/>
          <w:lang w:val="en-US"/>
        </w:rPr>
      </w:pPr>
      <w:r w:rsidRPr="00EB050C">
        <w:rPr>
          <w:rFonts w:ascii="Arial" w:hAnsi="Arial" w:cs="Arial"/>
          <w:color w:val="000000"/>
          <w:lang w:val="en-US"/>
        </w:rPr>
        <w:t>The IOC has been increasingly adopting a gender sensitive approach to its activities. The second edition of the Global Ocean Science Report (GOSR) to be published in 2020 provides baseline information on women and men working in the field of ocean science; globally 38% of the scientists are female, with considerable regional and national differences. Several events were organized to promote gender equality; the 2019 World Ocean Day, with its ‘Gender and the Ocean’ theme, could be cited as one example. However, the approach was still largely ad hoc rather than systematic.</w:t>
      </w:r>
    </w:p>
    <w:p w14:paraId="60CD9248" w14:textId="4678EEED" w:rsidR="00EB050C" w:rsidRPr="0072165A" w:rsidRDefault="0072165A" w:rsidP="0072165A">
      <w:pPr>
        <w:jc w:val="both"/>
        <w:rPr>
          <w:rFonts w:asciiTheme="minorBidi" w:hAnsiTheme="minorBidi"/>
          <w:bCs/>
          <w:lang w:val="en-US"/>
        </w:rPr>
      </w:pPr>
      <w:r w:rsidRPr="00EB050C">
        <w:rPr>
          <w:rFonts w:ascii="Arial" w:hAnsi="Arial" w:cs="Arial"/>
          <w:color w:val="000000"/>
          <w:lang w:val="en-US"/>
        </w:rPr>
        <w:t xml:space="preserve">The upcoming UN Decade of Ocean Science for Sustainable Development (2021-2030) with its explicit gender-related objectives presents a perfect opportunity to build synergies between SDG 5 and SDG 14 and to move from gender disaggregated assessments within the field of ocean science workforce to a more coherent framework of action. Regular assessments of gender representation in ocean science within the framework of the Global Ocean Science Report (GOSR) publications will allow changes to be tracked and the impacts of new initiatives to be observed. Together with its partners, IOC is currently planning a series of outreach and engagement activities to encourage submission of gender-sensitive </w:t>
      </w:r>
      <w:proofErr w:type="spellStart"/>
      <w:r w:rsidRPr="00EB050C">
        <w:rPr>
          <w:rFonts w:ascii="Arial" w:hAnsi="Arial" w:cs="Arial"/>
          <w:color w:val="000000"/>
          <w:lang w:val="en-US"/>
        </w:rPr>
        <w:t>programmes</w:t>
      </w:r>
      <w:proofErr w:type="spellEnd"/>
      <w:r w:rsidRPr="00EB050C">
        <w:rPr>
          <w:rFonts w:ascii="Arial" w:hAnsi="Arial" w:cs="Arial"/>
          <w:color w:val="000000"/>
          <w:lang w:val="en-US"/>
        </w:rPr>
        <w:t xml:space="preserve"> and projects to the upcoming Decade Calls for Action. A first virtual consultation will be organized in November 2020.</w:t>
      </w:r>
      <w:bookmarkEnd w:id="2"/>
      <w:r w:rsidR="00EB050C" w:rsidRPr="0072165A">
        <w:rPr>
          <w:rFonts w:asciiTheme="minorBidi" w:hAnsiTheme="minorBidi"/>
          <w:lang w:val="en-US"/>
        </w:rPr>
        <w:br w:type="page"/>
      </w:r>
    </w:p>
    <w:p w14:paraId="544FDE6F" w14:textId="7C158649" w:rsidR="00710FF5" w:rsidRPr="0072165A" w:rsidRDefault="001A747C" w:rsidP="00383A1D">
      <w:pPr>
        <w:pBdr>
          <w:bottom w:val="single" w:sz="4" w:space="1" w:color="auto"/>
        </w:pBdr>
        <w:rPr>
          <w:rFonts w:asciiTheme="minorBidi" w:hAnsiTheme="minorBidi"/>
          <w:bCs/>
          <w:lang w:val="ru-RU"/>
        </w:rPr>
      </w:pPr>
      <w:r>
        <w:rPr>
          <w:rFonts w:asciiTheme="minorBidi" w:hAnsiTheme="minorBidi"/>
          <w:lang w:val="ru"/>
        </w:rPr>
        <w:lastRenderedPageBreak/>
        <w:t>Приложение 2</w:t>
      </w:r>
    </w:p>
    <w:p w14:paraId="67EE370B" w14:textId="39E7B13C" w:rsidR="001A747C" w:rsidRPr="0072165A" w:rsidRDefault="001A747C" w:rsidP="001A747C">
      <w:pPr>
        <w:rPr>
          <w:rFonts w:asciiTheme="minorBidi" w:hAnsiTheme="minorBidi"/>
          <w:bCs/>
          <w:lang w:val="ru-RU"/>
        </w:rPr>
      </w:pPr>
      <w:r>
        <w:rPr>
          <w:rFonts w:ascii="Arial" w:hAnsi="Arial" w:cs="Arial"/>
          <w:color w:val="000000"/>
          <w:lang w:val="ru"/>
        </w:rPr>
        <w:t xml:space="preserve">(выдержка из документа </w:t>
      </w:r>
      <w:hyperlink r:id="rId20" w:history="1">
        <w:r>
          <w:rPr>
            <w:rStyle w:val="Hyperlink"/>
            <w:rFonts w:ascii="Arial" w:hAnsi="Arial" w:cs="Arial"/>
            <w:lang w:val="ru"/>
          </w:rPr>
          <w:t>210 EX/17</w:t>
        </w:r>
      </w:hyperlink>
      <w:r>
        <w:rPr>
          <w:rFonts w:ascii="Arial" w:hAnsi="Arial" w:cs="Arial"/>
          <w:color w:val="000000"/>
          <w:lang w:val="ru"/>
        </w:rPr>
        <w:t>, октябрь 2020 г.)</w:t>
      </w:r>
    </w:p>
    <w:p w14:paraId="541E8DB9" w14:textId="77777777" w:rsidR="0072165A" w:rsidRPr="0072165A" w:rsidRDefault="0072165A" w:rsidP="0072165A">
      <w:pPr>
        <w:pStyle w:val="Heading3"/>
        <w:rPr>
          <w:rFonts w:cs="Arial"/>
          <w:lang w:val="ru-RU"/>
        </w:rPr>
      </w:pPr>
      <w:bookmarkStart w:id="3" w:name="_Toc52955803"/>
      <w:bookmarkStart w:id="4" w:name="_Toc55224000"/>
      <w:r w:rsidRPr="0072165A">
        <w:rPr>
          <w:rFonts w:cs="Arial"/>
          <w:lang w:val="ru-RU"/>
        </w:rPr>
        <w:t>Межправительственная океанографическая комиссия (МОК)</w:t>
      </w:r>
      <w:bookmarkEnd w:id="3"/>
      <w:bookmarkEnd w:id="4"/>
    </w:p>
    <w:p w14:paraId="332FC1EF" w14:textId="77777777" w:rsidR="0072165A" w:rsidRPr="0072165A" w:rsidRDefault="0072165A" w:rsidP="0072165A">
      <w:pPr>
        <w:pStyle w:val="Marge"/>
        <w:ind w:left="567" w:hanging="567"/>
        <w:rPr>
          <w:rFonts w:cs="Arial"/>
          <w:szCs w:val="22"/>
          <w:lang w:val="ru-RU"/>
        </w:rPr>
      </w:pPr>
      <w:r w:rsidRPr="0072165A">
        <w:rPr>
          <w:rFonts w:cs="Arial"/>
          <w:lang w:val="ru-RU"/>
        </w:rPr>
        <w:t xml:space="preserve">1. </w:t>
      </w:r>
      <w:r w:rsidRPr="0072165A">
        <w:rPr>
          <w:rFonts w:cs="Arial"/>
          <w:lang w:val="ru-RU"/>
        </w:rPr>
        <w:tab/>
      </w:r>
      <w:r w:rsidRPr="0072165A">
        <w:rPr>
          <w:rFonts w:cs="Arial"/>
          <w:szCs w:val="22"/>
          <w:u w:val="single"/>
          <w:lang w:val="ru-RU"/>
        </w:rPr>
        <w:t xml:space="preserve">Актуализированная информация о мерах, принятых ЮНЕСКО в связи с пандемией </w:t>
      </w:r>
      <w:r w:rsidRPr="00176EBE">
        <w:rPr>
          <w:rFonts w:cs="Arial"/>
          <w:szCs w:val="22"/>
          <w:u w:val="single"/>
        </w:rPr>
        <w:t>COVID</w:t>
      </w:r>
      <w:r w:rsidRPr="0072165A">
        <w:rPr>
          <w:rFonts w:cs="Arial"/>
          <w:szCs w:val="22"/>
          <w:u w:val="single"/>
          <w:lang w:val="ru-RU"/>
        </w:rPr>
        <w:t>-19</w:t>
      </w:r>
    </w:p>
    <w:p w14:paraId="4A2FAB7D" w14:textId="77777777" w:rsidR="0072165A" w:rsidRPr="0072165A" w:rsidRDefault="0072165A" w:rsidP="0072165A">
      <w:pPr>
        <w:pStyle w:val="Marge"/>
        <w:rPr>
          <w:rFonts w:cs="Arial"/>
          <w:szCs w:val="22"/>
          <w:lang w:val="ru-RU"/>
        </w:rPr>
      </w:pPr>
      <w:r w:rsidRPr="0072165A">
        <w:rPr>
          <w:rFonts w:cs="Arial"/>
          <w:lang w:val="ru-RU"/>
        </w:rPr>
        <w:t>73.</w:t>
      </w:r>
      <w:r w:rsidRPr="0072165A">
        <w:rPr>
          <w:rFonts w:cs="Arial"/>
          <w:lang w:val="ru-RU"/>
        </w:rPr>
        <w:tab/>
        <w:t>Выступая от имени ООН и работая в тесном взаимодействии с 24 структурами-участницами сети «ООН-океаны», МОК разработала проект плана проведения Десятилетия Организации Объединенных Наций, посвященного науке об океане в интересах устойчивого развития (2021-2030 гг.), который должен быть представлен на 75-й сессии Генеральной Ассамблеи ООН в сентябре 2020</w:t>
      </w:r>
      <w:r>
        <w:rPr>
          <w:rFonts w:cs="Arial"/>
        </w:rPr>
        <w:t> </w:t>
      </w:r>
      <w:r w:rsidRPr="0072165A">
        <w:rPr>
          <w:rFonts w:cs="Arial"/>
          <w:lang w:val="ru-RU"/>
        </w:rPr>
        <w:t>г. Проект был доработан с учетом замечаний по итогам проведенной заинтересованными сторонами в марте-апреле 2020</w:t>
      </w:r>
      <w:r>
        <w:rPr>
          <w:rFonts w:cs="Arial"/>
        </w:rPr>
        <w:t> </w:t>
      </w:r>
      <w:r w:rsidRPr="0072165A">
        <w:rPr>
          <w:rFonts w:cs="Arial"/>
          <w:lang w:val="ru-RU"/>
        </w:rPr>
        <w:t>г. многосторонней международной экспертной оценки, а также межправительственного обзора, проведенного государствами – членами МОК и сетью «ООН-океаны» в июне-июле 2020</w:t>
      </w:r>
      <w:r>
        <w:rPr>
          <w:rFonts w:cs="Arial"/>
        </w:rPr>
        <w:t> </w:t>
      </w:r>
      <w:r w:rsidRPr="0072165A">
        <w:rPr>
          <w:rFonts w:cs="Arial"/>
          <w:lang w:val="ru-RU"/>
        </w:rPr>
        <w:t>г. В условиях вынужденной отмены ряда подготовительных совещаний в период с марта по июль 2020</w:t>
      </w:r>
      <w:r>
        <w:rPr>
          <w:rFonts w:cs="Arial"/>
        </w:rPr>
        <w:t> </w:t>
      </w:r>
      <w:r w:rsidRPr="0072165A">
        <w:rPr>
          <w:rFonts w:cs="Arial"/>
          <w:lang w:val="ru-RU"/>
        </w:rPr>
        <w:t xml:space="preserve">г. была организована серия виртуальных мероприятий с участием широкого круга заинтересованных сторон, представлявших международное </w:t>
      </w:r>
      <w:proofErr w:type="spellStart"/>
      <w:r w:rsidRPr="0072165A">
        <w:rPr>
          <w:rFonts w:cs="Arial"/>
          <w:lang w:val="ru-RU"/>
        </w:rPr>
        <w:t>морепользовательское</w:t>
      </w:r>
      <w:proofErr w:type="spellEnd"/>
      <w:r w:rsidRPr="0072165A">
        <w:rPr>
          <w:rFonts w:cs="Arial"/>
          <w:lang w:val="ru-RU"/>
        </w:rPr>
        <w:t xml:space="preserve"> сообщество (в числе прочего 5 июня 2020</w:t>
      </w:r>
      <w:r>
        <w:rPr>
          <w:rFonts w:cs="Arial"/>
        </w:rPr>
        <w:t> </w:t>
      </w:r>
      <w:r w:rsidRPr="0072165A">
        <w:rPr>
          <w:rFonts w:cs="Arial"/>
          <w:lang w:val="ru-RU"/>
        </w:rPr>
        <w:t>г. состоялась презентация подготовленного в сотрудничестве со Всемирным экономическим форумом и Глобальным договором ООН аналитического документа об экономических выгодах проведения Десятилетия науки об океане).</w:t>
      </w:r>
    </w:p>
    <w:p w14:paraId="21D2C70F" w14:textId="77777777" w:rsidR="0072165A" w:rsidRPr="0072165A" w:rsidRDefault="0072165A" w:rsidP="0072165A">
      <w:pPr>
        <w:pStyle w:val="Marge"/>
        <w:rPr>
          <w:rFonts w:cs="Arial"/>
          <w:szCs w:val="22"/>
          <w:lang w:val="ru-RU"/>
        </w:rPr>
      </w:pPr>
      <w:r w:rsidRPr="0072165A">
        <w:rPr>
          <w:rFonts w:cs="Arial"/>
          <w:lang w:val="ru-RU"/>
        </w:rPr>
        <w:t>74.</w:t>
      </w:r>
      <w:r w:rsidRPr="0072165A">
        <w:rPr>
          <w:rFonts w:cs="Arial"/>
          <w:lang w:val="ru-RU"/>
        </w:rPr>
        <w:tab/>
        <w:t>Презентация второго издания Глобального доклада о состоянии океанографии (ГДСО-2020), которую первоначально планировалось приурочить ко второй Конференции ООН по проблемам океанов (в настоящее время перенесена на 2021</w:t>
      </w:r>
      <w:r>
        <w:rPr>
          <w:rFonts w:cs="Arial"/>
        </w:rPr>
        <w:t> </w:t>
      </w:r>
      <w:r w:rsidRPr="0072165A">
        <w:rPr>
          <w:rFonts w:cs="Arial"/>
          <w:lang w:val="ru-RU"/>
        </w:rPr>
        <w:t>г.), пройдет в четвертом квартале 2020</w:t>
      </w:r>
      <w:r>
        <w:rPr>
          <w:rFonts w:cs="Arial"/>
        </w:rPr>
        <w:t> </w:t>
      </w:r>
      <w:r w:rsidRPr="0072165A">
        <w:rPr>
          <w:rFonts w:cs="Arial"/>
          <w:lang w:val="ru-RU"/>
        </w:rPr>
        <w:t>г. в рамках специальной серии параллельных вебинаров, которые будут организованы во всех регионах мира.</w:t>
      </w:r>
    </w:p>
    <w:p w14:paraId="2E2B4C76" w14:textId="77777777" w:rsidR="0072165A" w:rsidRPr="0072165A" w:rsidRDefault="0072165A" w:rsidP="0072165A">
      <w:pPr>
        <w:pStyle w:val="Marge"/>
        <w:rPr>
          <w:rFonts w:cs="Arial"/>
          <w:szCs w:val="22"/>
          <w:lang w:val="ru-RU"/>
        </w:rPr>
      </w:pPr>
      <w:r w:rsidRPr="0072165A">
        <w:rPr>
          <w:rFonts w:cs="Arial"/>
          <w:lang w:val="ru-RU"/>
        </w:rPr>
        <w:t>75.</w:t>
      </w:r>
      <w:r w:rsidRPr="0072165A">
        <w:rPr>
          <w:rFonts w:cs="Arial"/>
          <w:lang w:val="ru-RU"/>
        </w:rPr>
        <w:tab/>
        <w:t>МОК и Европейская комиссия продолжили реализацию Совместного плана действий по ускорению процессов морского пространственного планирования (МПП) в мире. Несмотря на отмену нескольких очных совещаний, была оперативно введена в действие стратегия привлечения заинтересованных сторон, призванная поддержать осуществление связанных с МПП мероприятий на глобальном уровне. Благодаря этому было проведено 11 онлайновых семинаров, тематика которых охватывала вопросы управления на основе экосистемного подхода, гендерные аспекты и проблемы изменения климата в контексте реализации стратегий экологичного морского хозяйствования.</w:t>
      </w:r>
    </w:p>
    <w:p w14:paraId="4E2125AE" w14:textId="77777777" w:rsidR="0072165A" w:rsidRPr="0072165A" w:rsidRDefault="0072165A" w:rsidP="0072165A">
      <w:pPr>
        <w:pStyle w:val="Marge"/>
        <w:keepNext/>
        <w:ind w:left="567" w:hanging="567"/>
        <w:rPr>
          <w:rFonts w:cs="Arial"/>
          <w:b/>
          <w:bCs/>
          <w:szCs w:val="22"/>
          <w:lang w:val="ru-RU"/>
        </w:rPr>
      </w:pPr>
      <w:r w:rsidRPr="0072165A">
        <w:rPr>
          <w:rFonts w:cs="Arial"/>
          <w:lang w:val="ru-RU"/>
        </w:rPr>
        <w:t>2.</w:t>
      </w:r>
      <w:r w:rsidRPr="0072165A">
        <w:rPr>
          <w:rFonts w:cs="Arial"/>
          <w:b/>
          <w:bCs/>
          <w:szCs w:val="22"/>
          <w:lang w:val="ru-RU"/>
        </w:rPr>
        <w:t xml:space="preserve"> </w:t>
      </w:r>
      <w:r w:rsidRPr="0072165A">
        <w:rPr>
          <w:rFonts w:cs="Arial"/>
          <w:b/>
          <w:bCs/>
          <w:szCs w:val="22"/>
          <w:lang w:val="ru-RU"/>
        </w:rPr>
        <w:tab/>
      </w:r>
      <w:r w:rsidRPr="0072165A">
        <w:rPr>
          <w:rFonts w:cs="Arial"/>
          <w:szCs w:val="22"/>
          <w:u w:val="single"/>
          <w:lang w:val="ru-RU"/>
        </w:rPr>
        <w:t xml:space="preserve">Последствия пандемии </w:t>
      </w:r>
      <w:r w:rsidRPr="00176EBE">
        <w:rPr>
          <w:rFonts w:cs="Arial"/>
          <w:szCs w:val="22"/>
          <w:u w:val="single"/>
        </w:rPr>
        <w:t>c</w:t>
      </w:r>
      <w:r w:rsidRPr="0072165A">
        <w:rPr>
          <w:rFonts w:cs="Arial"/>
          <w:szCs w:val="22"/>
          <w:u w:val="single"/>
          <w:lang w:val="ru-RU"/>
        </w:rPr>
        <w:t xml:space="preserve"> точки зрения выполнения Программы и бюджета Организации (40</w:t>
      </w:r>
      <w:r w:rsidRPr="00176EBE">
        <w:rPr>
          <w:rFonts w:cs="Arial"/>
          <w:szCs w:val="22"/>
          <w:u w:val="single"/>
        </w:rPr>
        <w:t> C</w:t>
      </w:r>
      <w:r w:rsidRPr="0072165A">
        <w:rPr>
          <w:rFonts w:cs="Arial"/>
          <w:szCs w:val="22"/>
          <w:u w:val="single"/>
          <w:lang w:val="ru-RU"/>
        </w:rPr>
        <w:t>/5)</w:t>
      </w:r>
    </w:p>
    <w:p w14:paraId="68AF63BE" w14:textId="77777777" w:rsidR="0072165A" w:rsidRPr="0072165A" w:rsidRDefault="0072165A" w:rsidP="0072165A">
      <w:pPr>
        <w:pStyle w:val="Marge"/>
        <w:keepNext/>
        <w:jc w:val="center"/>
        <w:rPr>
          <w:rFonts w:cs="Arial"/>
          <w:lang w:val="ru-RU"/>
        </w:rPr>
      </w:pPr>
      <w:r w:rsidRPr="0072165A">
        <w:rPr>
          <w:rFonts w:cs="Arial"/>
          <w:lang w:val="ru-RU"/>
        </w:rPr>
        <w:t>Таблица 4. Межправительственная океанографическая комиссия: Расходы на персонал и</w:t>
      </w:r>
      <w:r w:rsidRPr="0072165A">
        <w:rPr>
          <w:rFonts w:cs="Arial"/>
          <w:lang w:val="ru-RU"/>
        </w:rPr>
        <w:br/>
        <w:t>не связанные с персоналом расходы в рамках бюджета на 2020-2021</w:t>
      </w:r>
      <w:r>
        <w:rPr>
          <w:rFonts w:cs="Arial"/>
        </w:rPr>
        <w:t> </w:t>
      </w:r>
      <w:r w:rsidRPr="0072165A">
        <w:rPr>
          <w:rFonts w:cs="Arial"/>
          <w:lang w:val="ru-RU"/>
        </w:rPr>
        <w:t>гг. (40</w:t>
      </w:r>
      <w:r w:rsidRPr="00176EBE">
        <w:rPr>
          <w:rFonts w:cs="Arial"/>
        </w:rPr>
        <w:t> </w:t>
      </w:r>
      <w:r w:rsidRPr="0072165A">
        <w:rPr>
          <w:rFonts w:cs="Arial"/>
          <w:lang w:val="ru-RU"/>
        </w:rPr>
        <w:t>С/5)</w:t>
      </w:r>
      <w:r w:rsidRPr="0072165A">
        <w:rPr>
          <w:rFonts w:cs="Arial"/>
          <w:lang w:val="ru-RU"/>
        </w:rPr>
        <w:br/>
        <w:t>в разбивке по источникам финансирования, ситуация по состоянию на 30 июня 2020</w:t>
      </w:r>
      <w:r>
        <w:rPr>
          <w:rFonts w:cs="Arial"/>
        </w:rPr>
        <w:t> </w:t>
      </w:r>
      <w:r w:rsidRPr="0072165A">
        <w:rPr>
          <w:rFonts w:cs="Arial"/>
          <w:lang w:val="ru-RU"/>
        </w:rPr>
        <w:t>г.</w:t>
      </w:r>
    </w:p>
    <w:p w14:paraId="2B926091" w14:textId="77777777" w:rsidR="0072165A" w:rsidRDefault="0072165A" w:rsidP="0072165A">
      <w:pPr>
        <w:pStyle w:val="Marge"/>
        <w:keepNext/>
        <w:spacing w:after="120"/>
        <w:jc w:val="left"/>
        <w:rPr>
          <w:rFonts w:cs="Arial"/>
        </w:rPr>
      </w:pPr>
      <w:r w:rsidRPr="0075651F">
        <w:rPr>
          <w:noProof/>
        </w:rPr>
        <w:drawing>
          <wp:inline distT="0" distB="0" distL="0" distR="0" wp14:anchorId="40156B70" wp14:editId="10C78487">
            <wp:extent cx="6120130" cy="1192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192530"/>
                    </a:xfrm>
                    <a:prstGeom prst="rect">
                      <a:avLst/>
                    </a:prstGeom>
                    <a:noFill/>
                    <a:ln>
                      <a:noFill/>
                    </a:ln>
                  </pic:spPr>
                </pic:pic>
              </a:graphicData>
            </a:graphic>
          </wp:inline>
        </w:drawing>
      </w:r>
    </w:p>
    <w:p w14:paraId="298F6DC6" w14:textId="77777777" w:rsidR="0072165A" w:rsidRPr="0072165A" w:rsidRDefault="0072165A" w:rsidP="0072165A">
      <w:pPr>
        <w:pStyle w:val="Marge"/>
        <w:spacing w:after="0"/>
        <w:ind w:left="284" w:hanging="284"/>
        <w:rPr>
          <w:rFonts w:cs="Arial"/>
          <w:i/>
          <w:iCs/>
          <w:sz w:val="18"/>
          <w:szCs w:val="18"/>
          <w:lang w:val="ru-RU"/>
        </w:rPr>
      </w:pPr>
      <w:r w:rsidRPr="0072165A">
        <w:rPr>
          <w:rFonts w:cs="Arial"/>
          <w:i/>
          <w:iCs/>
          <w:sz w:val="18"/>
          <w:szCs w:val="18"/>
          <w:lang w:val="ru-RU"/>
        </w:rPr>
        <w:t xml:space="preserve">* </w:t>
      </w:r>
      <w:r w:rsidRPr="0072165A">
        <w:rPr>
          <w:rFonts w:cs="Arial"/>
          <w:i/>
          <w:iCs/>
          <w:sz w:val="18"/>
          <w:szCs w:val="18"/>
          <w:lang w:val="ru-RU"/>
        </w:rPr>
        <w:tab/>
        <w:t>Данные представлены без учета корректировок.</w:t>
      </w:r>
    </w:p>
    <w:p w14:paraId="7E730943" w14:textId="77777777" w:rsidR="0072165A" w:rsidRPr="0072165A" w:rsidRDefault="0072165A" w:rsidP="0072165A">
      <w:pPr>
        <w:pStyle w:val="Marge"/>
        <w:ind w:left="284" w:hanging="284"/>
        <w:rPr>
          <w:rFonts w:cs="Arial"/>
          <w:i/>
          <w:sz w:val="18"/>
          <w:szCs w:val="18"/>
          <w:lang w:val="ru-RU"/>
        </w:rPr>
      </w:pPr>
      <w:r w:rsidRPr="0072165A">
        <w:rPr>
          <w:rFonts w:cs="Arial"/>
          <w:i/>
          <w:sz w:val="18"/>
          <w:szCs w:val="18"/>
          <w:lang w:val="ru-RU"/>
        </w:rPr>
        <w:lastRenderedPageBreak/>
        <w:t xml:space="preserve">** </w:t>
      </w:r>
      <w:r w:rsidRPr="0072165A">
        <w:rPr>
          <w:rFonts w:cs="Arial"/>
          <w:i/>
          <w:sz w:val="18"/>
          <w:szCs w:val="18"/>
          <w:lang w:val="ru-RU"/>
        </w:rPr>
        <w:tab/>
        <w:t>В отношении добровольных взносов разбивка на связанные/не связанные с персоналом расходы отсутствует.</w:t>
      </w:r>
    </w:p>
    <w:p w14:paraId="1E37425B" w14:textId="77777777" w:rsidR="0072165A" w:rsidRPr="0072165A" w:rsidRDefault="0072165A" w:rsidP="0072165A">
      <w:pPr>
        <w:pStyle w:val="Marge"/>
        <w:rPr>
          <w:rFonts w:cs="Arial"/>
          <w:szCs w:val="22"/>
          <w:lang w:val="ru-RU"/>
        </w:rPr>
      </w:pPr>
      <w:r w:rsidRPr="0072165A">
        <w:rPr>
          <w:rFonts w:cs="Arial"/>
          <w:lang w:val="ru-RU"/>
        </w:rPr>
        <w:t>76.</w:t>
      </w:r>
      <w:r w:rsidRPr="0072165A">
        <w:rPr>
          <w:rFonts w:cs="Arial"/>
          <w:lang w:val="ru-RU"/>
        </w:rPr>
        <w:tab/>
        <w:t xml:space="preserve">Введение связанных с </w:t>
      </w:r>
      <w:r w:rsidRPr="00176EBE">
        <w:rPr>
          <w:rFonts w:cs="Arial"/>
        </w:rPr>
        <w:t>COVID</w:t>
      </w:r>
      <w:r w:rsidRPr="0072165A">
        <w:rPr>
          <w:rFonts w:cs="Arial"/>
          <w:lang w:val="ru-RU"/>
        </w:rPr>
        <w:t>-19 ограничительных мер вызвало серьезную обеспокоенность с точки зрения реализации основных программ Комиссии, таких как Глобальная система наблюдений за океаном (ГСНО), поскольку эти меры существенным образом отразились на возможностях осуществления океанографических наблюдений и сбора данных в отношении состояния Мирового океана</w:t>
      </w:r>
      <w:r w:rsidRPr="00176EBE">
        <w:rPr>
          <w:rFonts w:cs="Arial"/>
          <w:szCs w:val="22"/>
          <w:vertAlign w:val="superscript"/>
        </w:rPr>
        <w:footnoteReference w:id="1"/>
      </w:r>
      <w:r w:rsidRPr="0072165A">
        <w:rPr>
          <w:rFonts w:cs="Arial"/>
          <w:lang w:val="ru-RU"/>
        </w:rPr>
        <w:t>. Межправительственная координация деятельности в рамках Глобальной системы предупреждения о цунами ограничилась в основном онлайновыми совещаниями, при этом совещания руководящих органов были перенесены на более поздние сроки. Оперативный перевод работы в виртуальный формат позволил Секретариату продолжить тесное взаимодействие с экспертными группами и государствами-членами четырех региональных межправительственных координационных групп (МКГ) в интересах поддержания и укрепления работы в рамках региональных систем и осуществления необходимых мероприятий, таких как: (</w:t>
      </w:r>
      <w:r w:rsidRPr="00176EBE">
        <w:rPr>
          <w:rFonts w:cs="Arial"/>
        </w:rPr>
        <w:t>i</w:t>
      </w:r>
      <w:r w:rsidRPr="0072165A">
        <w:rPr>
          <w:rFonts w:cs="Arial"/>
          <w:lang w:val="ru-RU"/>
        </w:rPr>
        <w:t>)</w:t>
      </w:r>
      <w:r w:rsidRPr="00176EBE">
        <w:rPr>
          <w:rFonts w:cs="Arial"/>
        </w:rPr>
        <w:t> </w:t>
      </w:r>
      <w:r w:rsidRPr="0072165A">
        <w:rPr>
          <w:rFonts w:cs="Arial"/>
          <w:lang w:val="ru-RU"/>
        </w:rPr>
        <w:t>разработка методических рекомендаций для служб предупреждения о цунами, эвакуации и защиты населения в период пандемии; (</w:t>
      </w:r>
      <w:r w:rsidRPr="00176EBE">
        <w:rPr>
          <w:rFonts w:cs="Arial"/>
        </w:rPr>
        <w:t>ii</w:t>
      </w:r>
      <w:r w:rsidRPr="0072165A">
        <w:rPr>
          <w:rFonts w:cs="Arial"/>
          <w:lang w:val="ru-RU"/>
        </w:rPr>
        <w:t>)</w:t>
      </w:r>
      <w:r w:rsidRPr="00176EBE">
        <w:rPr>
          <w:rFonts w:cs="Arial"/>
        </w:rPr>
        <w:t> </w:t>
      </w:r>
      <w:r w:rsidRPr="0072165A">
        <w:rPr>
          <w:rFonts w:cs="Arial"/>
          <w:lang w:val="ru-RU"/>
        </w:rPr>
        <w:t xml:space="preserve">проведение опроса на предмет оценки последствий пандемии </w:t>
      </w:r>
      <w:r w:rsidRPr="00176EBE">
        <w:rPr>
          <w:rFonts w:cs="Arial"/>
        </w:rPr>
        <w:t>COVID</w:t>
      </w:r>
      <w:r w:rsidRPr="0072165A">
        <w:rPr>
          <w:rFonts w:cs="Arial"/>
          <w:lang w:val="ru-RU"/>
        </w:rPr>
        <w:t xml:space="preserve">-19 для функционирования сетей сейсмических мареографов и </w:t>
      </w:r>
      <w:proofErr w:type="spellStart"/>
      <w:r w:rsidRPr="0072165A">
        <w:rPr>
          <w:rFonts w:cs="Arial"/>
          <w:lang w:val="ru-RU"/>
        </w:rPr>
        <w:t>цунамиметров</w:t>
      </w:r>
      <w:proofErr w:type="spellEnd"/>
      <w:r w:rsidRPr="0072165A">
        <w:rPr>
          <w:rFonts w:cs="Arial"/>
          <w:lang w:val="ru-RU"/>
        </w:rPr>
        <w:t>, а также для деятельности провайдеров данных слежения за цунами</w:t>
      </w:r>
      <w:r>
        <w:rPr>
          <w:rFonts w:cs="Arial"/>
          <w:lang w:val="en-US"/>
        </w:rPr>
        <w:t> </w:t>
      </w:r>
      <w:r w:rsidRPr="0072165A">
        <w:rPr>
          <w:rFonts w:cs="Arial"/>
          <w:lang w:val="ru-RU"/>
        </w:rPr>
        <w:t>(ПДСЦ).</w:t>
      </w:r>
    </w:p>
    <w:p w14:paraId="48F97001" w14:textId="77777777" w:rsidR="0072165A" w:rsidRPr="0072165A" w:rsidRDefault="0072165A" w:rsidP="0072165A">
      <w:pPr>
        <w:pStyle w:val="Marge"/>
        <w:rPr>
          <w:rFonts w:cs="Arial"/>
          <w:szCs w:val="22"/>
          <w:lang w:val="ru-RU"/>
        </w:rPr>
      </w:pPr>
      <w:r w:rsidRPr="0072165A">
        <w:rPr>
          <w:rFonts w:cs="Arial"/>
          <w:lang w:val="ru-RU"/>
        </w:rPr>
        <w:t>77.</w:t>
      </w:r>
      <w:r w:rsidRPr="0072165A">
        <w:rPr>
          <w:rFonts w:cs="Arial"/>
          <w:lang w:val="ru-RU"/>
        </w:rPr>
        <w:tab/>
        <w:t>Учения по проверке готовности к цунами проводились в ограниченном формате (так, учения «Карибская волна-20», проходившие в марте 2020</w:t>
      </w:r>
      <w:r>
        <w:rPr>
          <w:rFonts w:cs="Arial"/>
        </w:rPr>
        <w:t> </w:t>
      </w:r>
      <w:r w:rsidRPr="0072165A">
        <w:rPr>
          <w:rFonts w:cs="Arial"/>
          <w:lang w:val="ru-RU"/>
        </w:rPr>
        <w:t>г., ограничились проверкой функционирования систем оповещения) либо были вовсе отложены, как, например, учения «Индийская волна-20» (перенесены на октябрь 2020</w:t>
      </w:r>
      <w:r>
        <w:rPr>
          <w:rFonts w:cs="Arial"/>
        </w:rPr>
        <w:t> </w:t>
      </w:r>
      <w:r w:rsidRPr="0072165A">
        <w:rPr>
          <w:rFonts w:cs="Arial"/>
          <w:lang w:val="ru-RU"/>
        </w:rPr>
        <w:t>г.), «Тихоокеанская волна-20» (перенесены на сентябрь-декабрь 2020</w:t>
      </w:r>
      <w:r>
        <w:rPr>
          <w:rFonts w:cs="Arial"/>
        </w:rPr>
        <w:t> </w:t>
      </w:r>
      <w:r w:rsidRPr="0072165A">
        <w:rPr>
          <w:rFonts w:cs="Arial"/>
          <w:lang w:val="ru-RU"/>
        </w:rPr>
        <w:t>г. или «СВАСМ/Волна-20» (перенесены на март 2021</w:t>
      </w:r>
      <w:r>
        <w:rPr>
          <w:rFonts w:cs="Arial"/>
        </w:rPr>
        <w:t> </w:t>
      </w:r>
      <w:r w:rsidRPr="0072165A">
        <w:rPr>
          <w:rFonts w:cs="Arial"/>
          <w:lang w:val="ru-RU"/>
        </w:rPr>
        <w:t>г.).</w:t>
      </w:r>
    </w:p>
    <w:p w14:paraId="244AB320" w14:textId="77777777" w:rsidR="0072165A" w:rsidRPr="0072165A" w:rsidRDefault="0072165A" w:rsidP="0072165A">
      <w:pPr>
        <w:pStyle w:val="Marge"/>
        <w:rPr>
          <w:rFonts w:cs="Arial"/>
          <w:szCs w:val="22"/>
          <w:lang w:val="ru-RU"/>
        </w:rPr>
      </w:pPr>
      <w:r w:rsidRPr="0072165A">
        <w:rPr>
          <w:rFonts w:cs="Arial"/>
          <w:lang w:val="ru-RU"/>
        </w:rPr>
        <w:t>78.</w:t>
      </w:r>
      <w:r w:rsidRPr="0072165A">
        <w:rPr>
          <w:rFonts w:cs="Arial"/>
          <w:lang w:val="ru-RU"/>
        </w:rPr>
        <w:tab/>
        <w:t>Наличие платформы электронного обучения Глобальной академии «Океан-инструктор» позволило уже в июне 2020</w:t>
      </w:r>
      <w:r>
        <w:rPr>
          <w:rFonts w:cs="Arial"/>
        </w:rPr>
        <w:t> </w:t>
      </w:r>
      <w:r w:rsidRPr="0072165A">
        <w:rPr>
          <w:rFonts w:cs="Arial"/>
          <w:lang w:val="ru-RU"/>
        </w:rPr>
        <w:t>г. оперативно произвести необходимые корректировки и организовать проведение онлайновых учебных курсов. Вместе с тем невозможность проведения планировавшихся очных мероприятий отразилась на всей деятельности. В период с марта по июль 2020</w:t>
      </w:r>
      <w:r>
        <w:rPr>
          <w:rFonts w:cs="Arial"/>
        </w:rPr>
        <w:t> </w:t>
      </w:r>
      <w:r w:rsidRPr="0072165A">
        <w:rPr>
          <w:rFonts w:cs="Arial"/>
          <w:lang w:val="ru-RU"/>
        </w:rPr>
        <w:t>г. существующие учебные центры были вынуждены ограничить число слушателей своих курсов. Кроме того, в связи с введением в государствах-членах режима обязательной самоизоляции сократилось число поступивших новых заявок.</w:t>
      </w:r>
    </w:p>
    <w:p w14:paraId="1C4A833D" w14:textId="60C6A784" w:rsidR="001A747C" w:rsidRPr="0072165A" w:rsidRDefault="0072165A" w:rsidP="0072165A">
      <w:pPr>
        <w:rPr>
          <w:rFonts w:asciiTheme="minorBidi" w:hAnsiTheme="minorBidi"/>
          <w:bCs/>
          <w:lang w:val="ru-RU"/>
        </w:rPr>
      </w:pPr>
      <w:r w:rsidRPr="0072165A">
        <w:rPr>
          <w:rFonts w:asciiTheme="minorBidi" w:hAnsiTheme="minorBidi"/>
          <w:lang w:val="ru-RU"/>
        </w:rPr>
        <w:t>79.</w:t>
      </w:r>
      <w:r w:rsidRPr="0072165A">
        <w:rPr>
          <w:rFonts w:asciiTheme="minorBidi" w:hAnsiTheme="minorBidi"/>
          <w:lang w:val="ru-RU"/>
        </w:rPr>
        <w:tab/>
        <w:t>По итогам проведенного в июне 2020</w:t>
      </w:r>
      <w:r w:rsidRPr="0072165A">
        <w:rPr>
          <w:rFonts w:asciiTheme="minorBidi" w:hAnsiTheme="minorBidi"/>
        </w:rPr>
        <w:t> </w:t>
      </w:r>
      <w:r w:rsidRPr="0072165A">
        <w:rPr>
          <w:rFonts w:asciiTheme="minorBidi" w:hAnsiTheme="minorBidi"/>
          <w:lang w:val="ru-RU"/>
        </w:rPr>
        <w:t>г. онлайнового опроса на предмет оценки последствий пандемии было получено 117 ответов от учреждений государств-членов, участвующих в возглавляемой МОК программе «Международный обмен океанографическими данными и информацией», при этом большинство респондентов сообщили, что пандемия сказалась на деятельности национальных центров океанографических данных (НЦОД)</w:t>
      </w:r>
      <w:r w:rsidRPr="0072165A">
        <w:rPr>
          <w:rFonts w:asciiTheme="minorBidi" w:hAnsiTheme="minorBidi"/>
          <w:vertAlign w:val="superscript"/>
        </w:rPr>
        <w:footnoteReference w:id="2"/>
      </w:r>
      <w:r w:rsidRPr="0072165A">
        <w:rPr>
          <w:rFonts w:asciiTheme="minorBidi" w:hAnsiTheme="minorBidi"/>
          <w:lang w:val="ru-RU"/>
        </w:rPr>
        <w:t>. В 2020-2021</w:t>
      </w:r>
      <w:r w:rsidRPr="0072165A">
        <w:rPr>
          <w:rFonts w:asciiTheme="minorBidi" w:hAnsiTheme="minorBidi"/>
        </w:rPr>
        <w:t> </w:t>
      </w:r>
      <w:r w:rsidRPr="0072165A">
        <w:rPr>
          <w:rFonts w:asciiTheme="minorBidi" w:hAnsiTheme="minorBidi"/>
          <w:lang w:val="ru-RU"/>
        </w:rPr>
        <w:t xml:space="preserve">гг. проведение опросов относительно общих последствий </w:t>
      </w:r>
      <w:r w:rsidRPr="0072165A">
        <w:rPr>
          <w:rFonts w:asciiTheme="minorBidi" w:hAnsiTheme="minorBidi"/>
        </w:rPr>
        <w:t>COVID</w:t>
      </w:r>
      <w:r w:rsidRPr="0072165A">
        <w:rPr>
          <w:rFonts w:asciiTheme="minorBidi" w:hAnsiTheme="minorBidi"/>
          <w:lang w:val="ru-RU"/>
        </w:rPr>
        <w:t xml:space="preserve">-19 будет продолжено. Тем не менее, уже сейчас становится все </w:t>
      </w:r>
      <w:r w:rsidRPr="0072165A">
        <w:rPr>
          <w:rFonts w:asciiTheme="minorBidi" w:hAnsiTheme="minorBidi"/>
          <w:lang w:val="ru-RU"/>
        </w:rPr>
        <w:lastRenderedPageBreak/>
        <w:t>более очевидным, что в глобальных базах океанографических данных возникнут пробелы как следствие отмены морских исследовательских экспедиций, прекращения технического обслуживания аппаратуры наблюдения в период пандемии, уменьшения численности персонала во время и, возможно, после завершения пандемии а также, не исключено, сокращения оперативных бюджетов.</w:t>
      </w:r>
    </w:p>
    <w:sectPr w:rsidR="001A747C" w:rsidRPr="0072165A" w:rsidSect="00383A1D">
      <w:headerReference w:type="even" r:id="rId22"/>
      <w:headerReference w:type="default" r:id="rId23"/>
      <w:headerReference w:type="first" r:id="rId24"/>
      <w:pgSz w:w="11906" w:h="16838" w:code="9"/>
      <w:pgMar w:top="1418" w:right="1134" w:bottom="1134" w:left="1134" w:header="709" w:footer="709"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EE0C" w16cex:dateUtc="2020-10-27T1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42B41" w14:textId="77777777" w:rsidR="00567E19" w:rsidRDefault="00567E19" w:rsidP="0011621D">
      <w:pPr>
        <w:spacing w:after="0" w:line="240" w:lineRule="auto"/>
      </w:pPr>
      <w:r>
        <w:separator/>
      </w:r>
    </w:p>
  </w:endnote>
  <w:endnote w:type="continuationSeparator" w:id="0">
    <w:p w14:paraId="6F203591" w14:textId="77777777" w:rsidR="00567E19" w:rsidRDefault="00567E19" w:rsidP="0011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6DA3" w14:textId="77777777" w:rsidR="00567E19" w:rsidRDefault="00567E19" w:rsidP="0011621D">
      <w:pPr>
        <w:spacing w:after="0" w:line="240" w:lineRule="auto"/>
      </w:pPr>
      <w:r>
        <w:separator/>
      </w:r>
    </w:p>
  </w:footnote>
  <w:footnote w:type="continuationSeparator" w:id="0">
    <w:p w14:paraId="5C5EFD1F" w14:textId="77777777" w:rsidR="00567E19" w:rsidRDefault="00567E19" w:rsidP="0011621D">
      <w:pPr>
        <w:spacing w:after="0" w:line="240" w:lineRule="auto"/>
      </w:pPr>
      <w:r>
        <w:continuationSeparator/>
      </w:r>
    </w:p>
  </w:footnote>
  <w:footnote w:id="1">
    <w:p w14:paraId="5133E48B" w14:textId="77777777" w:rsidR="0072165A" w:rsidRPr="0072165A" w:rsidRDefault="0072165A" w:rsidP="0072165A">
      <w:pPr>
        <w:ind w:left="567" w:hanging="567"/>
        <w:jc w:val="both"/>
        <w:rPr>
          <w:rFonts w:cs="Arial"/>
          <w:sz w:val="18"/>
          <w:szCs w:val="18"/>
          <w:lang w:val="ru-RU"/>
        </w:rPr>
      </w:pPr>
      <w:r w:rsidRPr="00176EBE">
        <w:rPr>
          <w:rStyle w:val="FootnoteReference"/>
          <w:rFonts w:cs="Arial"/>
          <w:sz w:val="18"/>
          <w:szCs w:val="18"/>
        </w:rPr>
        <w:footnoteRef/>
      </w:r>
      <w:r w:rsidRPr="0072165A">
        <w:rPr>
          <w:rFonts w:cs="Arial"/>
          <w:sz w:val="18"/>
          <w:szCs w:val="18"/>
          <w:lang w:val="ru-RU"/>
        </w:rPr>
        <w:t xml:space="preserve"> </w:t>
      </w:r>
      <w:r w:rsidRPr="0072165A">
        <w:rPr>
          <w:rFonts w:cs="Arial"/>
          <w:sz w:val="18"/>
          <w:szCs w:val="18"/>
          <w:lang w:val="ru-RU"/>
        </w:rPr>
        <w:tab/>
        <w:t>Власти государств и океанографические институты отозвали почти все свои научно-исследовательские суда в порты приписки; некоторые торговые суда также оказались не в состоянии продолжать проведение критически важных наблюдений за состоянием морской среды и метеорологических наблюдений; при этом системы океанографических буев и другие системы сбора данных остались без технического обслуживания. В этой ситуации возник серьезный дефицит данных, касающихся морских, климатических и погодных прог</w:t>
      </w:r>
      <w:r w:rsidRPr="0072165A">
        <w:rPr>
          <w:rFonts w:cs="Arial"/>
          <w:sz w:val="18"/>
          <w:szCs w:val="18"/>
          <w:lang w:val="ru-RU"/>
        </w:rPr>
        <w:softHyphen/>
        <w:t>нозов и предупреждений.</w:t>
      </w:r>
    </w:p>
  </w:footnote>
  <w:footnote w:id="2">
    <w:p w14:paraId="4ED3767F" w14:textId="77777777" w:rsidR="0072165A" w:rsidRPr="0072165A" w:rsidRDefault="0072165A" w:rsidP="0072165A">
      <w:pPr>
        <w:spacing w:after="80"/>
        <w:ind w:left="567" w:hanging="567"/>
        <w:jc w:val="both"/>
        <w:rPr>
          <w:rFonts w:cs="Arial"/>
          <w:sz w:val="18"/>
          <w:szCs w:val="18"/>
          <w:lang w:val="ru-RU"/>
        </w:rPr>
      </w:pPr>
      <w:r w:rsidRPr="00176EBE">
        <w:rPr>
          <w:rStyle w:val="FootnoteReference"/>
          <w:rFonts w:cs="Arial"/>
          <w:sz w:val="18"/>
          <w:szCs w:val="18"/>
        </w:rPr>
        <w:footnoteRef/>
      </w:r>
      <w:r w:rsidRPr="0072165A">
        <w:rPr>
          <w:rFonts w:cs="Arial"/>
          <w:sz w:val="18"/>
          <w:szCs w:val="18"/>
          <w:lang w:val="ru-RU"/>
        </w:rPr>
        <w:t xml:space="preserve"> </w:t>
      </w:r>
      <w:r w:rsidRPr="0072165A">
        <w:rPr>
          <w:rFonts w:cs="Arial"/>
          <w:sz w:val="18"/>
          <w:szCs w:val="18"/>
          <w:lang w:val="ru-RU"/>
        </w:rPr>
        <w:tab/>
        <w:t>81% респондентов сообщили, что пандемия сказалась на деятельности НЦОД; 77% респондентов сообщили, что сотрудники их НЦОД работают удаленно из дома; 51% респондентов указали на то, что в результате пандемии объемы получаемых НЦОД данных сократились, при этом 25% сообщили, что вообще не получают данных; 48% респондентов сообщили, что объем предоставляемых их НЦОД услуг не изменился, тогда как 36% информировали о сокращении объема оказываемых услуг; 49% респондентов сообщили, что, по их мнению, последствия пандемии продолжат ощущаться больше трех месяцев (т.е. и после августа 2020</w:t>
      </w:r>
      <w:r>
        <w:rPr>
          <w:rFonts w:cs="Arial"/>
          <w:sz w:val="18"/>
          <w:szCs w:val="18"/>
        </w:rPr>
        <w:t> </w:t>
      </w:r>
      <w:r w:rsidRPr="0072165A">
        <w:rPr>
          <w:rFonts w:cs="Arial"/>
          <w:sz w:val="18"/>
          <w:szCs w:val="18"/>
          <w:lang w:val="ru-RU"/>
        </w:rPr>
        <w:t>г.); 57% респондентов полагают, что пандемия приведет к дефициту поступающих данных, при этом 44% ожидают сокращения объемов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0647" w14:textId="77777777" w:rsidR="007744DB" w:rsidRPr="00003B31" w:rsidRDefault="007744DB" w:rsidP="006E7A21">
    <w:pPr>
      <w:pStyle w:val="Header"/>
      <w:ind w:left="7088"/>
      <w:rPr>
        <w:rFonts w:cs="Arial"/>
      </w:rPr>
    </w:pPr>
    <w:r>
      <w:rPr>
        <w:rFonts w:cs="Arial"/>
        <w:sz w:val="20"/>
        <w:szCs w:val="20"/>
        <w:highlight w:val="yellow"/>
        <w:lang w:val="ru"/>
      </w:rPr>
      <w:t>IOC-XXIX/2 Приложение 9</w:t>
    </w:r>
  </w:p>
  <w:p w14:paraId="7B0CC09C" w14:textId="77777777" w:rsidR="007744DB" w:rsidRPr="00FC2521" w:rsidRDefault="007744DB" w:rsidP="006E7A21">
    <w:pPr>
      <w:pStyle w:val="Header"/>
      <w:ind w:left="7088"/>
      <w:rPr>
        <w:rFonts w:cs="Arial"/>
        <w:sz w:val="20"/>
      </w:rPr>
    </w:pPr>
    <w:r>
      <w:rPr>
        <w:rFonts w:cs="Arial"/>
        <w:sz w:val="20"/>
        <w:lang w:val="ru"/>
      </w:rPr>
      <w:t>стр. </w:t>
    </w:r>
    <w:r>
      <w:rPr>
        <w:rStyle w:val="PageNumber"/>
        <w:rFonts w:cs="Arial"/>
        <w:sz w:val="20"/>
        <w:lang w:val="ru"/>
      </w:rPr>
      <w:fldChar w:fldCharType="begin"/>
    </w:r>
    <w:r>
      <w:rPr>
        <w:rStyle w:val="PageNumber"/>
        <w:rFonts w:cs="Arial"/>
        <w:sz w:val="20"/>
        <w:lang w:val="ru"/>
      </w:rPr>
      <w:instrText xml:space="preserve"> PAGE </w:instrText>
    </w:r>
    <w:r>
      <w:rPr>
        <w:rStyle w:val="PageNumber"/>
        <w:rFonts w:cs="Arial"/>
        <w:sz w:val="20"/>
        <w:lang w:val="ru"/>
      </w:rPr>
      <w:fldChar w:fldCharType="separate"/>
    </w:r>
    <w:r>
      <w:rPr>
        <w:rStyle w:val="PageNumber"/>
        <w:rFonts w:cs="Arial"/>
        <w:noProof/>
        <w:sz w:val="20"/>
        <w:lang w:val="ru"/>
      </w:rPr>
      <w:t>2</w:t>
    </w:r>
    <w:r>
      <w:rPr>
        <w:rStyle w:val="PageNumber"/>
        <w:rFonts w:cs="Arial"/>
        <w:sz w:val="20"/>
        <w:lang w:val="ru"/>
      </w:rPr>
      <w:fldChar w:fldCharType="end"/>
    </w:r>
  </w:p>
  <w:p w14:paraId="33461363" w14:textId="77777777" w:rsidR="007744DB" w:rsidRDefault="00774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284D" w14:textId="77777777" w:rsidR="007744DB" w:rsidRPr="00812C2F" w:rsidRDefault="007744DB" w:rsidP="006E7A21">
    <w:pPr>
      <w:pStyle w:val="Header"/>
      <w:rPr>
        <w:rFonts w:ascii="Arial" w:hAnsi="Arial" w:cs="Arial"/>
        <w:sz w:val="20"/>
        <w:szCs w:val="20"/>
      </w:rPr>
    </w:pPr>
    <w:r>
      <w:rPr>
        <w:rFonts w:ascii="Arial" w:hAnsi="Arial" w:cs="Arial"/>
        <w:sz w:val="20"/>
        <w:szCs w:val="20"/>
        <w:lang w:val="ru"/>
      </w:rPr>
      <w:t>IOC-XXIX/2 Приложение 9</w:t>
    </w:r>
  </w:p>
  <w:p w14:paraId="5578E55E" w14:textId="77777777" w:rsidR="007744DB" w:rsidRDefault="007744DB" w:rsidP="006E7A21">
    <w:pPr>
      <w:pStyle w:val="Header"/>
      <w:rPr>
        <w:rFonts w:ascii="Arial" w:hAnsi="Arial" w:cs="Arial"/>
        <w:sz w:val="20"/>
        <w:szCs w:val="20"/>
      </w:rPr>
    </w:pPr>
    <w:r>
      <w:rPr>
        <w:rFonts w:ascii="Arial" w:hAnsi="Arial" w:cs="Arial"/>
        <w:sz w:val="20"/>
        <w:szCs w:val="20"/>
        <w:lang w:val="ru"/>
      </w:rPr>
      <w:t xml:space="preserve">стр. </w:t>
    </w:r>
  </w:p>
  <w:p w14:paraId="1A04275C" w14:textId="77777777" w:rsidR="007744DB" w:rsidRPr="00812C2F" w:rsidRDefault="007744DB" w:rsidP="006E7A2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6539" w14:textId="78615277" w:rsidR="007744DB" w:rsidRPr="0072165A" w:rsidRDefault="007744DB" w:rsidP="00383A1D">
    <w:pPr>
      <w:tabs>
        <w:tab w:val="left" w:pos="567"/>
        <w:tab w:val="right" w:pos="9638"/>
      </w:tabs>
      <w:snapToGrid w:val="0"/>
      <w:spacing w:after="0" w:line="240" w:lineRule="auto"/>
      <w:jc w:val="both"/>
      <w:rPr>
        <w:rFonts w:ascii="Arial" w:eastAsia="Times New Roman" w:hAnsi="Arial" w:cs="Arial"/>
        <w:b/>
        <w:snapToGrid w:val="0"/>
        <w:lang w:val="ru-RU"/>
      </w:rPr>
    </w:pPr>
    <w:r>
      <w:rPr>
        <w:rFonts w:ascii="Arial" w:eastAsia="Times New Roman" w:hAnsi="Arial" w:cs="Arial"/>
        <w:snapToGrid w:val="0"/>
        <w:lang w:val="ru"/>
      </w:rPr>
      <w:t>Рассылается по списку</w:t>
    </w:r>
    <w:r>
      <w:rPr>
        <w:rFonts w:ascii="Arial" w:eastAsia="Times New Roman" w:hAnsi="Arial" w:cs="Arial"/>
        <w:snapToGrid w:val="0"/>
        <w:lang w:val="ru"/>
      </w:rPr>
      <w:tab/>
    </w:r>
    <w:bookmarkStart w:id="1" w:name="_Hlk58398020"/>
    <w:r>
      <w:rPr>
        <w:rFonts w:ascii="Arial" w:eastAsia="Times New Roman" w:hAnsi="Arial" w:cs="Arial"/>
        <w:b/>
        <w:bCs/>
        <w:snapToGrid w:val="0"/>
        <w:sz w:val="36"/>
        <w:szCs w:val="36"/>
        <w:lang w:val="ru"/>
      </w:rPr>
      <w:t>IOC/EC-53/3.</w:t>
    </w:r>
    <w:proofErr w:type="gramStart"/>
    <w:r>
      <w:rPr>
        <w:rFonts w:ascii="Arial" w:eastAsia="Times New Roman" w:hAnsi="Arial" w:cs="Arial"/>
        <w:b/>
        <w:bCs/>
        <w:snapToGrid w:val="0"/>
        <w:sz w:val="36"/>
        <w:szCs w:val="36"/>
        <w:lang w:val="ru"/>
      </w:rPr>
      <w:t>1.Doc</w:t>
    </w:r>
    <w:proofErr w:type="gramEnd"/>
    <w:r>
      <w:rPr>
        <w:rFonts w:ascii="Arial" w:eastAsia="Times New Roman" w:hAnsi="Arial" w:cs="Arial"/>
        <w:b/>
        <w:bCs/>
        <w:snapToGrid w:val="0"/>
        <w:sz w:val="36"/>
        <w:szCs w:val="36"/>
        <w:lang w:val="ru"/>
      </w:rPr>
      <w:t>(1)Part2</w:t>
    </w:r>
    <w:bookmarkEnd w:id="1"/>
  </w:p>
  <w:p w14:paraId="36E529C7" w14:textId="60284D50" w:rsidR="007744DB" w:rsidRPr="0072165A" w:rsidRDefault="007744DB" w:rsidP="00383A1D">
    <w:pPr>
      <w:tabs>
        <w:tab w:val="left" w:pos="5124"/>
      </w:tabs>
      <w:snapToGrid w:val="0"/>
      <w:spacing w:after="0" w:line="240" w:lineRule="auto"/>
      <w:jc w:val="both"/>
      <w:rPr>
        <w:rFonts w:ascii="Arial" w:eastAsia="Times New Roman" w:hAnsi="Arial" w:cs="Arial"/>
        <w:snapToGrid w:val="0"/>
        <w:lang w:val="ru-RU"/>
      </w:rPr>
    </w:pPr>
    <w:r>
      <w:rPr>
        <w:rFonts w:ascii="Arial" w:eastAsia="Times New Roman" w:hAnsi="Arial" w:cs="Arial"/>
        <w:snapToGrid w:val="0"/>
        <w:lang w:val="ru"/>
      </w:rPr>
      <w:tab/>
      <w:t xml:space="preserve"> Париж, 4 декабря 2020 г.</w:t>
    </w:r>
  </w:p>
  <w:p w14:paraId="10808AB1" w14:textId="54B5BB8F" w:rsidR="007744DB" w:rsidRPr="0072165A" w:rsidRDefault="007744DB" w:rsidP="00383A1D">
    <w:pPr>
      <w:tabs>
        <w:tab w:val="left" w:pos="5124"/>
      </w:tabs>
      <w:snapToGrid w:val="0"/>
      <w:spacing w:after="0" w:line="240" w:lineRule="auto"/>
      <w:jc w:val="both"/>
      <w:rPr>
        <w:rFonts w:ascii="Arial" w:eastAsia="Times New Roman" w:hAnsi="Arial" w:cs="Arial"/>
        <w:snapToGrid w:val="0"/>
        <w:lang w:val="ru-RU"/>
      </w:rPr>
    </w:pPr>
    <w:r>
      <w:rPr>
        <w:rFonts w:ascii="Arial" w:eastAsia="Times New Roman" w:hAnsi="Arial" w:cs="Arial"/>
        <w:snapToGrid w:val="0"/>
        <w:lang w:val="ru"/>
      </w:rPr>
      <w:tab/>
      <w:t xml:space="preserve"> Язык оригинала: Английский</w:t>
    </w:r>
  </w:p>
  <w:p w14:paraId="2E556226" w14:textId="77777777" w:rsidR="007744DB" w:rsidRPr="0072165A"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snapToGrid w:val="0"/>
      <w:spacing w:after="0" w:line="240" w:lineRule="auto"/>
      <w:jc w:val="both"/>
      <w:rPr>
        <w:rFonts w:ascii="Arial" w:eastAsia="Times New Roman" w:hAnsi="Arial" w:cs="Arial"/>
        <w:b/>
        <w:snapToGrid w:val="0"/>
        <w:lang w:val="ru-RU"/>
      </w:rPr>
    </w:pPr>
  </w:p>
  <w:p w14:paraId="1CA307F9" w14:textId="77777777" w:rsidR="007744DB" w:rsidRPr="0072165A"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jc w:val="both"/>
      <w:rPr>
        <w:rFonts w:ascii="Arial" w:eastAsia="Times New Roman" w:hAnsi="Arial" w:cs="Arial"/>
        <w:b/>
        <w:snapToGrid w:val="0"/>
        <w:lang w:val="ru-RU"/>
      </w:rPr>
    </w:pPr>
    <w:r>
      <w:rPr>
        <w:rFonts w:ascii="Arial" w:eastAsia="Times New Roman" w:hAnsi="Arial" w:cs="Arial"/>
        <w:noProof/>
        <w:lang w:val="ru"/>
      </w:rPr>
      <w:drawing>
        <wp:anchor distT="0" distB="0" distL="114300" distR="114300" simplePos="0" relativeHeight="251659264" behindDoc="1" locked="0" layoutInCell="1" allowOverlap="1" wp14:anchorId="34EB4198" wp14:editId="404039CA">
          <wp:simplePos x="0" y="0"/>
          <wp:positionH relativeFrom="column">
            <wp:posOffset>12065</wp:posOffset>
          </wp:positionH>
          <wp:positionV relativeFrom="paragraph">
            <wp:posOffset>165100</wp:posOffset>
          </wp:positionV>
          <wp:extent cx="1561465" cy="802640"/>
          <wp:effectExtent l="0" t="0" r="635" b="0"/>
          <wp:wrapSquare wrapText="bothSides"/>
          <wp:docPr id="8"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AFD4" w14:textId="77777777" w:rsidR="007744DB" w:rsidRPr="0072165A" w:rsidRDefault="007744DB" w:rsidP="00D362B7">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ight="-711"/>
      <w:rPr>
        <w:rFonts w:ascii="Arial" w:eastAsia="Times New Roman" w:hAnsi="Arial" w:cs="Arial"/>
        <w:b/>
        <w:snapToGrid w:val="0"/>
        <w:sz w:val="24"/>
        <w:szCs w:val="24"/>
        <w:lang w:val="ru-RU"/>
      </w:rPr>
    </w:pPr>
    <w:r>
      <w:rPr>
        <w:rFonts w:ascii="Arial" w:eastAsia="Times New Roman" w:hAnsi="Arial" w:cs="Arial"/>
        <w:b/>
        <w:bCs/>
        <w:snapToGrid w:val="0"/>
        <w:sz w:val="24"/>
        <w:szCs w:val="24"/>
        <w:lang w:val="ru"/>
      </w:rPr>
      <w:t>МЕЖПРАВИТЕЛЬСТВЕННАЯ ОКЕАНОГРАФИЧЕСКАЯ КОМИССИЯ</w:t>
    </w:r>
  </w:p>
  <w:p w14:paraId="7EE71FB8" w14:textId="77777777" w:rsidR="007744DB" w:rsidRPr="0072165A" w:rsidRDefault="007744DB" w:rsidP="0011621D">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bCs/>
        <w:snapToGrid w:val="0"/>
        <w:sz w:val="24"/>
        <w:szCs w:val="24"/>
        <w:lang w:val="ru-RU"/>
      </w:rPr>
    </w:pPr>
    <w:r>
      <w:rPr>
        <w:rFonts w:ascii="Arial" w:eastAsia="Times New Roman" w:hAnsi="Arial" w:cs="Arial"/>
        <w:b/>
        <w:bCs/>
        <w:snapToGrid w:val="0"/>
        <w:sz w:val="24"/>
        <w:szCs w:val="24"/>
        <w:lang w:val="ru"/>
      </w:rPr>
      <w:t>(ЮНЕСКО)</w:t>
    </w:r>
  </w:p>
  <w:p w14:paraId="03B8CF88" w14:textId="77777777" w:rsidR="007744DB" w:rsidRPr="0072165A"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ru-RU"/>
      </w:rPr>
    </w:pPr>
  </w:p>
  <w:p w14:paraId="63FE4748" w14:textId="77777777" w:rsidR="007744DB" w:rsidRPr="0072165A"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ru-RU"/>
      </w:rPr>
    </w:pPr>
  </w:p>
  <w:p w14:paraId="2D017BCF" w14:textId="77777777" w:rsidR="007744DB" w:rsidRPr="0072165A" w:rsidRDefault="007744DB"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ru-RU"/>
      </w:rPr>
    </w:pPr>
    <w:r>
      <w:rPr>
        <w:rFonts w:ascii="Arial" w:eastAsia="Times New Roman" w:hAnsi="Arial" w:cs="Arial"/>
        <w:b/>
        <w:bCs/>
        <w:snapToGrid w:val="0"/>
        <w:lang w:val="ru"/>
      </w:rPr>
      <w:t>Пятьдесят третья сессия Исполнительного совета</w:t>
    </w:r>
  </w:p>
  <w:p w14:paraId="2CF78832" w14:textId="22101B34" w:rsidR="007744DB" w:rsidRPr="0072165A" w:rsidRDefault="00062DF5"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Cs/>
        <w:snapToGrid w:val="0"/>
        <w:lang w:val="ru-RU"/>
      </w:rPr>
    </w:pPr>
    <w:r>
      <w:rPr>
        <w:rFonts w:ascii="Arial" w:eastAsia="Times New Roman" w:hAnsi="Arial" w:cs="Arial"/>
        <w:snapToGrid w:val="0"/>
        <w:lang w:val="ru"/>
      </w:rPr>
      <w:t>ЮНЕСКО, Париж, 3–9 февраля 2021 г. [виртуальная сессия]</w:t>
    </w:r>
  </w:p>
  <w:p w14:paraId="2F30B165" w14:textId="77777777" w:rsidR="007744DB" w:rsidRPr="0072165A" w:rsidRDefault="007744DB" w:rsidP="0011621D">
    <w:pPr>
      <w:tabs>
        <w:tab w:val="left" w:pos="567"/>
      </w:tabs>
      <w:snapToGrid w:val="0"/>
      <w:spacing w:after="0" w:line="240" w:lineRule="auto"/>
      <w:jc w:val="center"/>
      <w:rPr>
        <w:rFonts w:ascii="Arial" w:eastAsia="Times New Roman" w:hAnsi="Arial" w:cs="Arial"/>
        <w:snapToGrid w:val="0"/>
        <w:lang w:val="ru-RU"/>
      </w:rPr>
    </w:pPr>
  </w:p>
  <w:p w14:paraId="26F861FB" w14:textId="77777777" w:rsidR="007744DB" w:rsidRPr="0072165A" w:rsidRDefault="007744DB" w:rsidP="008D7571">
    <w:pPr>
      <w:tabs>
        <w:tab w:val="left" w:pos="567"/>
      </w:tabs>
      <w:snapToGrid w:val="0"/>
      <w:spacing w:after="0" w:line="240" w:lineRule="auto"/>
      <w:rPr>
        <w:rFonts w:ascii="Arial" w:eastAsia="Times New Roman" w:hAnsi="Arial" w:cs="Arial"/>
        <w:snapToGrid w:val="0"/>
        <w:lang w:val="ru-RU"/>
      </w:rPr>
    </w:pPr>
  </w:p>
  <w:p w14:paraId="5083294D" w14:textId="77777777" w:rsidR="007744DB" w:rsidRPr="0072165A" w:rsidRDefault="007744DB" w:rsidP="008D7571">
    <w:pPr>
      <w:tabs>
        <w:tab w:val="left" w:pos="567"/>
      </w:tabs>
      <w:snapToGrid w:val="0"/>
      <w:spacing w:after="0" w:line="240" w:lineRule="auto"/>
      <w:rPr>
        <w:rFonts w:ascii="Arial" w:eastAsia="Times New Roman" w:hAnsi="Arial" w:cs="Arial"/>
        <w:snapToGrid w:val="0"/>
        <w:lang w:val="ru-RU"/>
      </w:rPr>
    </w:pPr>
  </w:p>
  <w:p w14:paraId="52D44EF4" w14:textId="77777777" w:rsidR="007744DB" w:rsidRPr="0072165A" w:rsidRDefault="007744DB" w:rsidP="0011621D">
    <w:pPr>
      <w:tabs>
        <w:tab w:val="left" w:pos="567"/>
      </w:tabs>
      <w:snapToGrid w:val="0"/>
      <w:spacing w:after="0" w:line="240" w:lineRule="auto"/>
      <w:jc w:val="center"/>
      <w:rPr>
        <w:rFonts w:ascii="Arial" w:eastAsia="Times New Roman" w:hAnsi="Arial" w:cs="Arial"/>
        <w:snapToGrid w:val="0"/>
        <w:lang w:val="ru-RU"/>
      </w:rPr>
    </w:pPr>
  </w:p>
  <w:p w14:paraId="35E5DAA1" w14:textId="5EF06797" w:rsidR="007744DB" w:rsidRPr="0072165A" w:rsidRDefault="007744DB" w:rsidP="00606BC6">
    <w:pPr>
      <w:pStyle w:val="Heading7"/>
      <w:tabs>
        <w:tab w:val="right" w:pos="9540"/>
      </w:tabs>
      <w:spacing w:line="240" w:lineRule="auto"/>
      <w:rPr>
        <w:rFonts w:cs="Arial"/>
        <w:sz w:val="24"/>
        <w:lang w:val="ru-RU"/>
      </w:rPr>
    </w:pPr>
    <w:r>
      <w:rPr>
        <w:sz w:val="24"/>
        <w:lang w:val="ru"/>
      </w:rPr>
      <w:t>Пункт 3.1 четвертой пересмотренной предварительной повестки дня</w:t>
    </w:r>
  </w:p>
  <w:p w14:paraId="4E013338" w14:textId="77777777" w:rsidR="007744DB" w:rsidRPr="0072165A" w:rsidRDefault="007744DB" w:rsidP="0011621D">
    <w:pPr>
      <w:tabs>
        <w:tab w:val="left" w:pos="567"/>
      </w:tabs>
      <w:snapToGrid w:val="0"/>
      <w:spacing w:after="0" w:line="240" w:lineRule="auto"/>
      <w:rPr>
        <w:rFonts w:ascii="Arial" w:eastAsia="Times New Roman" w:hAnsi="Arial" w:cs="Arial"/>
        <w:snapToGrid w:val="0"/>
        <w:lang w:val="ru-RU"/>
      </w:rPr>
    </w:pPr>
  </w:p>
  <w:p w14:paraId="1F16D84B" w14:textId="77777777" w:rsidR="007744DB" w:rsidRPr="0072165A" w:rsidRDefault="007744DB" w:rsidP="0011621D">
    <w:pPr>
      <w:tabs>
        <w:tab w:val="left" w:pos="567"/>
      </w:tabs>
      <w:snapToGrid w:val="0"/>
      <w:spacing w:after="0" w:line="240" w:lineRule="auto"/>
      <w:rPr>
        <w:rFonts w:ascii="Arial" w:eastAsia="Times New Roman" w:hAnsi="Arial" w:cs="Arial"/>
        <w:snapToGrid w:val="0"/>
        <w:lang w:val="ru-RU"/>
      </w:rPr>
    </w:pPr>
  </w:p>
  <w:p w14:paraId="44144532" w14:textId="77777777" w:rsidR="000B7937" w:rsidRPr="0072165A" w:rsidRDefault="000B7937" w:rsidP="00985259">
    <w:pPr>
      <w:tabs>
        <w:tab w:val="left" w:pos="567"/>
        <w:tab w:val="center" w:pos="4153"/>
        <w:tab w:val="right" w:pos="8306"/>
      </w:tabs>
      <w:snapToGrid w:val="0"/>
      <w:spacing w:after="0" w:line="240" w:lineRule="auto"/>
      <w:jc w:val="center"/>
      <w:rPr>
        <w:rFonts w:ascii="Arial" w:eastAsia="Times New Roman" w:hAnsi="Arial" w:cs="Arial"/>
        <w:b/>
        <w:bCs/>
        <w:caps/>
        <w:snapToGrid w:val="0"/>
        <w:sz w:val="24"/>
        <w:szCs w:val="24"/>
        <w:lang w:val="ru-RU"/>
      </w:rPr>
    </w:pPr>
  </w:p>
  <w:p w14:paraId="4A746CC5" w14:textId="58AF6C4C" w:rsidR="007744DB" w:rsidRPr="0072165A" w:rsidRDefault="000B7937" w:rsidP="00985259">
    <w:pPr>
      <w:tabs>
        <w:tab w:val="left" w:pos="567"/>
        <w:tab w:val="center" w:pos="4153"/>
        <w:tab w:val="right" w:pos="8306"/>
      </w:tabs>
      <w:snapToGrid w:val="0"/>
      <w:spacing w:after="0" w:line="240" w:lineRule="auto"/>
      <w:jc w:val="center"/>
      <w:rPr>
        <w:rFonts w:ascii="Arial" w:eastAsia="Times New Roman" w:hAnsi="Arial" w:cs="Arial"/>
        <w:snapToGrid w:val="0"/>
        <w:lang w:val="ru-RU"/>
      </w:rPr>
    </w:pPr>
    <w:r>
      <w:rPr>
        <w:rFonts w:ascii="Arial" w:eastAsia="Times New Roman" w:hAnsi="Arial" w:cs="Arial"/>
        <w:b/>
        <w:bCs/>
        <w:caps/>
        <w:snapToGrid w:val="0"/>
        <w:sz w:val="24"/>
        <w:szCs w:val="24"/>
        <w:lang w:val="ru"/>
      </w:rPr>
      <w:t>Краткое уточнение к докладу Исполнительного секретаря МОК о работе, проделанной в период после 30</w:t>
    </w:r>
    <w:r>
      <w:rPr>
        <w:rFonts w:ascii="Arial" w:eastAsia="Times New Roman" w:hAnsi="Arial" w:cs="Arial"/>
        <w:b/>
        <w:bCs/>
        <w:caps/>
        <w:snapToGrid w:val="0"/>
        <w:sz w:val="24"/>
        <w:szCs w:val="24"/>
        <w:lang w:val="ru"/>
      </w:rPr>
      <w:noBreakHyphen/>
      <w:t>й сессии Ассамблеи</w:t>
    </w:r>
  </w:p>
  <w:p w14:paraId="6F7D8BE5" w14:textId="77777777" w:rsidR="007744DB" w:rsidRPr="0072165A" w:rsidRDefault="007744DB">
    <w:pPr>
      <w:pStyle w:val="Header"/>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BA3C" w14:textId="1C1FD568" w:rsidR="007744DB" w:rsidRPr="0072165A" w:rsidRDefault="00062DF5" w:rsidP="00DC4E75">
    <w:pPr>
      <w:pStyle w:val="Header"/>
      <w:jc w:val="both"/>
      <w:rPr>
        <w:rFonts w:ascii="Arial" w:hAnsi="Arial" w:cs="Arial"/>
        <w:bCs/>
        <w:sz w:val="20"/>
        <w:szCs w:val="20"/>
        <w:lang w:val="fr-FR"/>
      </w:rPr>
    </w:pPr>
    <w:r w:rsidRPr="0072165A">
      <w:rPr>
        <w:rFonts w:ascii="Arial" w:hAnsi="Arial" w:cs="Arial"/>
        <w:sz w:val="20"/>
        <w:szCs w:val="20"/>
        <w:lang w:val="fr-FR"/>
      </w:rPr>
      <w:t>IOC/EC-53/3.1.Doc(1)Part2</w:t>
    </w:r>
  </w:p>
  <w:p w14:paraId="71108A87" w14:textId="0C4ABD98" w:rsidR="007744DB" w:rsidRPr="00EB050C" w:rsidRDefault="00062DF5" w:rsidP="00812C2F">
    <w:pPr>
      <w:pStyle w:val="Header"/>
      <w:jc w:val="both"/>
      <w:rPr>
        <w:rFonts w:ascii="Arial" w:hAnsi="Arial" w:cs="Arial"/>
        <w:sz w:val="20"/>
        <w:szCs w:val="20"/>
      </w:rPr>
    </w:pPr>
    <w:r>
      <w:rPr>
        <w:rFonts w:ascii="Arial" w:hAnsi="Arial" w:cs="Arial"/>
        <w:sz w:val="20"/>
        <w:szCs w:val="20"/>
        <w:lang w:val="ru"/>
      </w:rPr>
      <w:t>стр</w:t>
    </w:r>
    <w:r w:rsidRPr="0072165A">
      <w:rPr>
        <w:rFonts w:ascii="Arial" w:hAnsi="Arial" w:cs="Arial"/>
        <w:sz w:val="20"/>
        <w:szCs w:val="20"/>
        <w:lang w:val="fr-FR"/>
      </w:rPr>
      <w:t>. </w:t>
    </w:r>
    <w:r>
      <w:rPr>
        <w:rStyle w:val="PageNumber"/>
        <w:rFonts w:ascii="Arial" w:hAnsi="Arial" w:cs="Arial"/>
        <w:sz w:val="20"/>
        <w:szCs w:val="20"/>
        <w:lang w:val="ru"/>
      </w:rPr>
      <w:fldChar w:fldCharType="begin"/>
    </w:r>
    <w:r w:rsidRPr="0072165A">
      <w:rPr>
        <w:rStyle w:val="PageNumber"/>
        <w:rFonts w:ascii="Arial" w:hAnsi="Arial" w:cs="Arial"/>
        <w:sz w:val="20"/>
        <w:szCs w:val="20"/>
        <w:lang w:val="fr-FR"/>
      </w:rPr>
      <w:instrText xml:space="preserve"> PAGE </w:instrText>
    </w:r>
    <w:r>
      <w:rPr>
        <w:rStyle w:val="PageNumber"/>
        <w:rFonts w:ascii="Arial" w:hAnsi="Arial" w:cs="Arial"/>
        <w:sz w:val="20"/>
        <w:szCs w:val="20"/>
        <w:lang w:val="ru"/>
      </w:rPr>
      <w:fldChar w:fldCharType="separate"/>
    </w:r>
    <w:r>
      <w:rPr>
        <w:rStyle w:val="PageNumber"/>
        <w:rFonts w:ascii="Arial" w:hAnsi="Arial" w:cs="Arial"/>
        <w:noProof/>
        <w:sz w:val="20"/>
        <w:szCs w:val="20"/>
        <w:lang w:val="ru"/>
      </w:rPr>
      <w:t>4</w:t>
    </w:r>
    <w:r>
      <w:rPr>
        <w:rStyle w:val="PageNumber"/>
        <w:rFonts w:ascii="Arial" w:hAnsi="Arial" w:cs="Arial"/>
        <w:sz w:val="20"/>
        <w:szCs w:val="20"/>
        <w:lang w:val="ru"/>
      </w:rPr>
      <w:fldChar w:fldCharType="end"/>
    </w:r>
  </w:p>
  <w:p w14:paraId="229F4B44" w14:textId="77777777" w:rsidR="007744DB" w:rsidRPr="00EB050C" w:rsidRDefault="007744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E074" w14:textId="105BAC7D" w:rsidR="007744DB" w:rsidRPr="0072165A" w:rsidRDefault="00062DF5" w:rsidP="00383A1D">
    <w:pPr>
      <w:pStyle w:val="Header"/>
      <w:ind w:left="7088"/>
      <w:rPr>
        <w:rFonts w:ascii="Arial" w:hAnsi="Arial" w:cs="Arial"/>
        <w:bCs/>
        <w:sz w:val="20"/>
        <w:szCs w:val="20"/>
        <w:lang w:val="fr-FR"/>
      </w:rPr>
    </w:pPr>
    <w:r w:rsidRPr="0072165A">
      <w:rPr>
        <w:rFonts w:ascii="Arial" w:hAnsi="Arial" w:cs="Arial"/>
        <w:sz w:val="20"/>
        <w:szCs w:val="20"/>
        <w:lang w:val="fr-FR"/>
      </w:rPr>
      <w:t>IOC/EC-53/3.1.Doc(1)Part2</w:t>
    </w:r>
  </w:p>
  <w:p w14:paraId="29CB7F0F" w14:textId="27F4F334" w:rsidR="007744DB" w:rsidRPr="00383A1D" w:rsidRDefault="00062DF5" w:rsidP="00383A1D">
    <w:pPr>
      <w:pStyle w:val="Header"/>
      <w:ind w:left="7088"/>
      <w:rPr>
        <w:rFonts w:ascii="Arial" w:hAnsi="Arial" w:cs="Arial"/>
        <w:sz w:val="20"/>
        <w:szCs w:val="20"/>
      </w:rPr>
    </w:pPr>
    <w:r>
      <w:rPr>
        <w:rFonts w:ascii="Arial" w:hAnsi="Arial" w:cs="Arial"/>
        <w:sz w:val="20"/>
        <w:szCs w:val="20"/>
        <w:lang w:val="ru"/>
      </w:rPr>
      <w:t>стр</w:t>
    </w:r>
    <w:r w:rsidRPr="0072165A">
      <w:rPr>
        <w:rFonts w:ascii="Arial" w:hAnsi="Arial" w:cs="Arial"/>
        <w:sz w:val="20"/>
        <w:szCs w:val="20"/>
        <w:lang w:val="fr-FR"/>
      </w:rPr>
      <w:t>.</w:t>
    </w:r>
    <w:r>
      <w:rPr>
        <w:rFonts w:ascii="Arial" w:hAnsi="Arial" w:cs="Arial"/>
        <w:sz w:val="20"/>
        <w:szCs w:val="20"/>
        <w:lang w:val="ru"/>
      </w:rPr>
      <w:fldChar w:fldCharType="begin"/>
    </w:r>
    <w:r w:rsidRPr="0072165A">
      <w:rPr>
        <w:rFonts w:ascii="Arial" w:hAnsi="Arial" w:cs="Arial"/>
        <w:sz w:val="20"/>
        <w:szCs w:val="20"/>
        <w:lang w:val="fr-FR"/>
      </w:rPr>
      <w:instrText>PAGE   \* MERGEFORMAT</w:instrText>
    </w:r>
    <w:r>
      <w:rPr>
        <w:rFonts w:ascii="Arial" w:hAnsi="Arial" w:cs="Arial"/>
        <w:sz w:val="20"/>
        <w:szCs w:val="20"/>
        <w:lang w:val="ru"/>
      </w:rPr>
      <w:fldChar w:fldCharType="separate"/>
    </w:r>
    <w:r>
      <w:rPr>
        <w:rFonts w:ascii="Arial" w:hAnsi="Arial" w:cs="Arial"/>
        <w:noProof/>
        <w:sz w:val="20"/>
        <w:szCs w:val="20"/>
        <w:lang w:val="ru"/>
      </w:rPr>
      <w:t>3</w:t>
    </w:r>
    <w:r>
      <w:rPr>
        <w:rFonts w:ascii="Arial" w:hAnsi="Arial" w:cs="Arial"/>
        <w:sz w:val="20"/>
        <w:szCs w:val="20"/>
        <w:lang w:val="ru"/>
      </w:rPr>
      <w:fldChar w:fldCharType="end"/>
    </w:r>
  </w:p>
  <w:p w14:paraId="7ED62FC6" w14:textId="77777777" w:rsidR="007744DB" w:rsidRPr="00383A1D" w:rsidRDefault="007744DB" w:rsidP="00383A1D">
    <w:pPr>
      <w:pStyle w:val="Header"/>
      <w:ind w:left="7088"/>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7150" w14:textId="056F79F9" w:rsidR="007744DB" w:rsidRPr="0072165A" w:rsidRDefault="00062DF5" w:rsidP="00DC4E75">
    <w:pPr>
      <w:pStyle w:val="Header"/>
      <w:rPr>
        <w:rFonts w:ascii="Arial" w:eastAsia="Times New Roman" w:hAnsi="Arial" w:cs="Arial"/>
        <w:bCs/>
        <w:snapToGrid w:val="0"/>
        <w:sz w:val="20"/>
        <w:szCs w:val="20"/>
        <w:lang w:val="fr-FR"/>
      </w:rPr>
    </w:pPr>
    <w:r w:rsidRPr="0072165A">
      <w:rPr>
        <w:rFonts w:ascii="Arial" w:eastAsia="Times New Roman" w:hAnsi="Arial" w:cs="Arial"/>
        <w:snapToGrid w:val="0"/>
        <w:sz w:val="20"/>
        <w:szCs w:val="20"/>
        <w:lang w:val="fr-FR"/>
      </w:rPr>
      <w:t>IOC/EC-53/3.1.Doc(1)Part2</w:t>
    </w:r>
  </w:p>
  <w:p w14:paraId="31AEC721" w14:textId="20A6F08B" w:rsidR="007744DB" w:rsidRPr="00EB050C" w:rsidRDefault="00062DF5" w:rsidP="00DC4E75">
    <w:pPr>
      <w:pStyle w:val="Header"/>
      <w:rPr>
        <w:rFonts w:ascii="Arial" w:eastAsia="Times New Roman" w:hAnsi="Arial" w:cs="Arial"/>
        <w:snapToGrid w:val="0"/>
        <w:sz w:val="20"/>
        <w:szCs w:val="20"/>
      </w:rPr>
    </w:pPr>
    <w:r>
      <w:rPr>
        <w:rFonts w:ascii="Arial" w:eastAsia="Times New Roman" w:hAnsi="Arial" w:cs="Arial"/>
        <w:snapToGrid w:val="0"/>
        <w:sz w:val="20"/>
        <w:szCs w:val="20"/>
        <w:lang w:val="ru"/>
      </w:rPr>
      <w:t>стр</w:t>
    </w:r>
    <w:r w:rsidRPr="0072165A">
      <w:rPr>
        <w:rFonts w:ascii="Arial" w:eastAsia="Times New Roman" w:hAnsi="Arial" w:cs="Arial"/>
        <w:snapToGrid w:val="0"/>
        <w:sz w:val="20"/>
        <w:szCs w:val="20"/>
        <w:lang w:val="fr-FR"/>
      </w:rPr>
      <w:t xml:space="preserve">. </w:t>
    </w:r>
    <w:r>
      <w:rPr>
        <w:rFonts w:ascii="Arial" w:eastAsia="Times New Roman" w:hAnsi="Arial" w:cs="Arial"/>
        <w:snapToGrid w:val="0"/>
        <w:sz w:val="20"/>
        <w:szCs w:val="20"/>
        <w:lang w:val="ru"/>
      </w:rPr>
      <w:fldChar w:fldCharType="begin"/>
    </w:r>
    <w:r w:rsidRPr="0072165A">
      <w:rPr>
        <w:rFonts w:ascii="Arial" w:eastAsia="Times New Roman" w:hAnsi="Arial" w:cs="Arial"/>
        <w:snapToGrid w:val="0"/>
        <w:sz w:val="20"/>
        <w:szCs w:val="20"/>
        <w:lang w:val="fr-FR"/>
      </w:rPr>
      <w:instrText>PAGE   \* MERGEFORMAT</w:instrText>
    </w:r>
    <w:r>
      <w:rPr>
        <w:rFonts w:ascii="Arial" w:eastAsia="Times New Roman" w:hAnsi="Arial" w:cs="Arial"/>
        <w:snapToGrid w:val="0"/>
        <w:sz w:val="20"/>
        <w:szCs w:val="20"/>
        <w:lang w:val="ru"/>
      </w:rPr>
      <w:fldChar w:fldCharType="separate"/>
    </w:r>
    <w:r>
      <w:rPr>
        <w:rFonts w:ascii="Arial" w:eastAsia="Times New Roman" w:hAnsi="Arial" w:cs="Arial"/>
        <w:noProof/>
        <w:snapToGrid w:val="0"/>
        <w:sz w:val="20"/>
        <w:szCs w:val="20"/>
        <w:lang w:val="ru"/>
      </w:rPr>
      <w:t>2</w:t>
    </w:r>
    <w:r>
      <w:rPr>
        <w:rFonts w:ascii="Arial" w:eastAsia="Times New Roman" w:hAnsi="Arial" w:cs="Arial"/>
        <w:snapToGrid w:val="0"/>
        <w:sz w:val="20"/>
        <w:szCs w:val="20"/>
        <w:lang w:val="ru"/>
      </w:rPr>
      <w:fldChar w:fldCharType="end"/>
    </w:r>
  </w:p>
  <w:p w14:paraId="191A1841" w14:textId="77777777" w:rsidR="007744DB" w:rsidRPr="00EB050C" w:rsidRDefault="00774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BD0"/>
    <w:multiLevelType w:val="multilevel"/>
    <w:tmpl w:val="6084083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1C6184"/>
    <w:multiLevelType w:val="hybridMultilevel"/>
    <w:tmpl w:val="072A4A54"/>
    <w:lvl w:ilvl="0" w:tplc="E05A59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491349"/>
    <w:multiLevelType w:val="hybridMultilevel"/>
    <w:tmpl w:val="E2A4729C"/>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3A8D6AD6"/>
    <w:multiLevelType w:val="hybridMultilevel"/>
    <w:tmpl w:val="F19C9A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DA51BD"/>
    <w:multiLevelType w:val="hybridMultilevel"/>
    <w:tmpl w:val="82823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7C75A9"/>
    <w:multiLevelType w:val="hybridMultilevel"/>
    <w:tmpl w:val="83607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F0E73A3"/>
    <w:multiLevelType w:val="hybridMultilevel"/>
    <w:tmpl w:val="2C8E9444"/>
    <w:lvl w:ilvl="0" w:tplc="8A066EFA">
      <w:start w:val="1"/>
      <w:numFmt w:val="upperRoman"/>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3F6D0F"/>
    <w:multiLevelType w:val="hybridMultilevel"/>
    <w:tmpl w:val="B4C8FE0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num w:numId="1">
    <w:abstractNumId w:val="0"/>
  </w:num>
  <w:num w:numId="2">
    <w:abstractNumId w:val="7"/>
  </w:num>
  <w:num w:numId="3">
    <w:abstractNumId w:val="4"/>
  </w:num>
  <w:num w:numId="4">
    <w:abstractNumId w:val="3"/>
  </w:num>
  <w:num w:numId="5">
    <w:abstractNumId w:val="5"/>
  </w:num>
  <w:num w:numId="6">
    <w:abstractNumId w:val="1"/>
  </w:num>
  <w:num w:numId="7">
    <w:abstractNumId w:val="6"/>
  </w:num>
  <w:num w:numId="8">
    <w:abstractNumId w:val="8"/>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ru-RU" w:vendorID="64" w:dllVersion="0" w:nlCheck="1" w:checkStyle="0"/>
  <w:proofState w:spelling="clean" w:grammar="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7A"/>
    <w:rsid w:val="00000F4A"/>
    <w:rsid w:val="00003949"/>
    <w:rsid w:val="00011F91"/>
    <w:rsid w:val="000241E2"/>
    <w:rsid w:val="000458D4"/>
    <w:rsid w:val="00050C55"/>
    <w:rsid w:val="00053B8C"/>
    <w:rsid w:val="00055BC0"/>
    <w:rsid w:val="00062DF5"/>
    <w:rsid w:val="00067444"/>
    <w:rsid w:val="00072A3C"/>
    <w:rsid w:val="000819A2"/>
    <w:rsid w:val="00087946"/>
    <w:rsid w:val="000A20C5"/>
    <w:rsid w:val="000A2802"/>
    <w:rsid w:val="000B0CC9"/>
    <w:rsid w:val="000B5947"/>
    <w:rsid w:val="000B7937"/>
    <w:rsid w:val="0011621D"/>
    <w:rsid w:val="00137056"/>
    <w:rsid w:val="00141789"/>
    <w:rsid w:val="00141FA6"/>
    <w:rsid w:val="00142A14"/>
    <w:rsid w:val="00142A92"/>
    <w:rsid w:val="0014596D"/>
    <w:rsid w:val="001516DB"/>
    <w:rsid w:val="00161237"/>
    <w:rsid w:val="00162C48"/>
    <w:rsid w:val="00163148"/>
    <w:rsid w:val="00166C54"/>
    <w:rsid w:val="00167530"/>
    <w:rsid w:val="00180BD5"/>
    <w:rsid w:val="00181C89"/>
    <w:rsid w:val="00187DC8"/>
    <w:rsid w:val="001924E8"/>
    <w:rsid w:val="001936B7"/>
    <w:rsid w:val="00194E71"/>
    <w:rsid w:val="001A59C5"/>
    <w:rsid w:val="001A747C"/>
    <w:rsid w:val="001B0FBB"/>
    <w:rsid w:val="001C055E"/>
    <w:rsid w:val="001C63B7"/>
    <w:rsid w:val="001C6F3E"/>
    <w:rsid w:val="001D11A4"/>
    <w:rsid w:val="001D5A7B"/>
    <w:rsid w:val="002046F0"/>
    <w:rsid w:val="00205EA2"/>
    <w:rsid w:val="00207574"/>
    <w:rsid w:val="0021633F"/>
    <w:rsid w:val="002336A3"/>
    <w:rsid w:val="002352E8"/>
    <w:rsid w:val="00237D0E"/>
    <w:rsid w:val="002524F7"/>
    <w:rsid w:val="00256A8F"/>
    <w:rsid w:val="002676F2"/>
    <w:rsid w:val="00267C29"/>
    <w:rsid w:val="00272523"/>
    <w:rsid w:val="00282EAE"/>
    <w:rsid w:val="002964EF"/>
    <w:rsid w:val="002B5FB3"/>
    <w:rsid w:val="002C21D8"/>
    <w:rsid w:val="002D7649"/>
    <w:rsid w:val="002D7A43"/>
    <w:rsid w:val="002E1D9A"/>
    <w:rsid w:val="002F3C97"/>
    <w:rsid w:val="00305F7F"/>
    <w:rsid w:val="00307A3F"/>
    <w:rsid w:val="00311569"/>
    <w:rsid w:val="00321780"/>
    <w:rsid w:val="00335EC4"/>
    <w:rsid w:val="00337BA4"/>
    <w:rsid w:val="003409D4"/>
    <w:rsid w:val="00362FF7"/>
    <w:rsid w:val="003634B4"/>
    <w:rsid w:val="0036433A"/>
    <w:rsid w:val="0037384C"/>
    <w:rsid w:val="00377C83"/>
    <w:rsid w:val="00381068"/>
    <w:rsid w:val="00383A1D"/>
    <w:rsid w:val="00392D87"/>
    <w:rsid w:val="00395339"/>
    <w:rsid w:val="00397CBA"/>
    <w:rsid w:val="003A4900"/>
    <w:rsid w:val="003B1455"/>
    <w:rsid w:val="003B2670"/>
    <w:rsid w:val="003B4461"/>
    <w:rsid w:val="003C129E"/>
    <w:rsid w:val="003C3F83"/>
    <w:rsid w:val="003C418F"/>
    <w:rsid w:val="003E3119"/>
    <w:rsid w:val="003F74BF"/>
    <w:rsid w:val="00404BA6"/>
    <w:rsid w:val="004070E3"/>
    <w:rsid w:val="004130B4"/>
    <w:rsid w:val="004142A9"/>
    <w:rsid w:val="0043502A"/>
    <w:rsid w:val="00437ECA"/>
    <w:rsid w:val="0044035E"/>
    <w:rsid w:val="00441B0C"/>
    <w:rsid w:val="004641E7"/>
    <w:rsid w:val="00474073"/>
    <w:rsid w:val="00490189"/>
    <w:rsid w:val="00494901"/>
    <w:rsid w:val="004B22C2"/>
    <w:rsid w:val="004C1BB3"/>
    <w:rsid w:val="004C4064"/>
    <w:rsid w:val="004D4350"/>
    <w:rsid w:val="004D4FF8"/>
    <w:rsid w:val="004E12E8"/>
    <w:rsid w:val="004F0C2B"/>
    <w:rsid w:val="004F62E0"/>
    <w:rsid w:val="0050373C"/>
    <w:rsid w:val="00542C92"/>
    <w:rsid w:val="00545254"/>
    <w:rsid w:val="005537DE"/>
    <w:rsid w:val="00560DB7"/>
    <w:rsid w:val="00567E19"/>
    <w:rsid w:val="00573AA3"/>
    <w:rsid w:val="00576FE4"/>
    <w:rsid w:val="005911B2"/>
    <w:rsid w:val="00595424"/>
    <w:rsid w:val="005A17E9"/>
    <w:rsid w:val="005A3870"/>
    <w:rsid w:val="005A6864"/>
    <w:rsid w:val="005A6A17"/>
    <w:rsid w:val="005A6DA0"/>
    <w:rsid w:val="005A7314"/>
    <w:rsid w:val="005B6CDE"/>
    <w:rsid w:val="005D71F5"/>
    <w:rsid w:val="005E721E"/>
    <w:rsid w:val="005E78DB"/>
    <w:rsid w:val="005F2C29"/>
    <w:rsid w:val="005F3600"/>
    <w:rsid w:val="00600331"/>
    <w:rsid w:val="00606BC6"/>
    <w:rsid w:val="00607823"/>
    <w:rsid w:val="006162C4"/>
    <w:rsid w:val="0062608C"/>
    <w:rsid w:val="00626ABB"/>
    <w:rsid w:val="006358A6"/>
    <w:rsid w:val="00636BF7"/>
    <w:rsid w:val="00642CEF"/>
    <w:rsid w:val="00656435"/>
    <w:rsid w:val="00660351"/>
    <w:rsid w:val="00662C09"/>
    <w:rsid w:val="00665EFB"/>
    <w:rsid w:val="00667CB4"/>
    <w:rsid w:val="006726A8"/>
    <w:rsid w:val="00680D18"/>
    <w:rsid w:val="00684DDE"/>
    <w:rsid w:val="00684F75"/>
    <w:rsid w:val="00685C0E"/>
    <w:rsid w:val="006945AA"/>
    <w:rsid w:val="006A64DA"/>
    <w:rsid w:val="006B02CE"/>
    <w:rsid w:val="006B117D"/>
    <w:rsid w:val="006C1D2B"/>
    <w:rsid w:val="006D3BEF"/>
    <w:rsid w:val="006D68C0"/>
    <w:rsid w:val="006E39A7"/>
    <w:rsid w:val="006E3CBC"/>
    <w:rsid w:val="006E7A21"/>
    <w:rsid w:val="00710FF5"/>
    <w:rsid w:val="00717C18"/>
    <w:rsid w:val="00720375"/>
    <w:rsid w:val="0072165A"/>
    <w:rsid w:val="007448CF"/>
    <w:rsid w:val="00752368"/>
    <w:rsid w:val="00757FFA"/>
    <w:rsid w:val="00762818"/>
    <w:rsid w:val="00766965"/>
    <w:rsid w:val="00773722"/>
    <w:rsid w:val="00773E4C"/>
    <w:rsid w:val="007744DB"/>
    <w:rsid w:val="00781E35"/>
    <w:rsid w:val="00792730"/>
    <w:rsid w:val="007B330D"/>
    <w:rsid w:val="007B4F94"/>
    <w:rsid w:val="007B75C1"/>
    <w:rsid w:val="007D38A1"/>
    <w:rsid w:val="007E1234"/>
    <w:rsid w:val="008123BC"/>
    <w:rsid w:val="00812C2F"/>
    <w:rsid w:val="008154B9"/>
    <w:rsid w:val="00817E3E"/>
    <w:rsid w:val="00834AD2"/>
    <w:rsid w:val="00845230"/>
    <w:rsid w:val="008511C9"/>
    <w:rsid w:val="00851945"/>
    <w:rsid w:val="00854766"/>
    <w:rsid w:val="00863F86"/>
    <w:rsid w:val="00881CF6"/>
    <w:rsid w:val="00885E54"/>
    <w:rsid w:val="008A3ECC"/>
    <w:rsid w:val="008D5E1E"/>
    <w:rsid w:val="008D7571"/>
    <w:rsid w:val="008F789A"/>
    <w:rsid w:val="00900E00"/>
    <w:rsid w:val="009164D2"/>
    <w:rsid w:val="00921D1D"/>
    <w:rsid w:val="009238D5"/>
    <w:rsid w:val="00946128"/>
    <w:rsid w:val="00951D1B"/>
    <w:rsid w:val="00981AE5"/>
    <w:rsid w:val="0098492A"/>
    <w:rsid w:val="00985259"/>
    <w:rsid w:val="00996FAD"/>
    <w:rsid w:val="009A6AF1"/>
    <w:rsid w:val="009B7AE8"/>
    <w:rsid w:val="009C25F4"/>
    <w:rsid w:val="009C4841"/>
    <w:rsid w:val="009C493D"/>
    <w:rsid w:val="009C7CE7"/>
    <w:rsid w:val="00A00DEE"/>
    <w:rsid w:val="00A01F60"/>
    <w:rsid w:val="00A02842"/>
    <w:rsid w:val="00A04A7C"/>
    <w:rsid w:val="00A10CC3"/>
    <w:rsid w:val="00A1702C"/>
    <w:rsid w:val="00A172CD"/>
    <w:rsid w:val="00A30B8C"/>
    <w:rsid w:val="00A30CD4"/>
    <w:rsid w:val="00A33A87"/>
    <w:rsid w:val="00A50D2F"/>
    <w:rsid w:val="00A60AED"/>
    <w:rsid w:val="00A633FB"/>
    <w:rsid w:val="00A64B71"/>
    <w:rsid w:val="00A6686D"/>
    <w:rsid w:val="00A71AD9"/>
    <w:rsid w:val="00A74F7D"/>
    <w:rsid w:val="00A97BCA"/>
    <w:rsid w:val="00AA24EA"/>
    <w:rsid w:val="00AB3051"/>
    <w:rsid w:val="00AC74DB"/>
    <w:rsid w:val="00AD045F"/>
    <w:rsid w:val="00AD0E57"/>
    <w:rsid w:val="00AE1F83"/>
    <w:rsid w:val="00AE2D0E"/>
    <w:rsid w:val="00AF2B8E"/>
    <w:rsid w:val="00AF67EB"/>
    <w:rsid w:val="00B15B07"/>
    <w:rsid w:val="00B1773E"/>
    <w:rsid w:val="00B200B0"/>
    <w:rsid w:val="00B435E7"/>
    <w:rsid w:val="00B436A9"/>
    <w:rsid w:val="00B51028"/>
    <w:rsid w:val="00B7332C"/>
    <w:rsid w:val="00B87358"/>
    <w:rsid w:val="00B9135F"/>
    <w:rsid w:val="00BA0BF8"/>
    <w:rsid w:val="00BA2469"/>
    <w:rsid w:val="00BA7EA8"/>
    <w:rsid w:val="00BC582F"/>
    <w:rsid w:val="00C02633"/>
    <w:rsid w:val="00C0287B"/>
    <w:rsid w:val="00C151ED"/>
    <w:rsid w:val="00C2044F"/>
    <w:rsid w:val="00C20E8A"/>
    <w:rsid w:val="00C247AB"/>
    <w:rsid w:val="00C24D7A"/>
    <w:rsid w:val="00C40BF6"/>
    <w:rsid w:val="00C433AC"/>
    <w:rsid w:val="00C500F2"/>
    <w:rsid w:val="00C558E8"/>
    <w:rsid w:val="00C6037B"/>
    <w:rsid w:val="00C6375B"/>
    <w:rsid w:val="00C6593D"/>
    <w:rsid w:val="00C73088"/>
    <w:rsid w:val="00C8383A"/>
    <w:rsid w:val="00C838F8"/>
    <w:rsid w:val="00C937B7"/>
    <w:rsid w:val="00C94A6F"/>
    <w:rsid w:val="00CA30A8"/>
    <w:rsid w:val="00CA77D0"/>
    <w:rsid w:val="00CA7AAC"/>
    <w:rsid w:val="00CB224D"/>
    <w:rsid w:val="00CB5E3B"/>
    <w:rsid w:val="00CC77F4"/>
    <w:rsid w:val="00CF7B08"/>
    <w:rsid w:val="00D14B4A"/>
    <w:rsid w:val="00D15344"/>
    <w:rsid w:val="00D23192"/>
    <w:rsid w:val="00D362B7"/>
    <w:rsid w:val="00D472C8"/>
    <w:rsid w:val="00D47374"/>
    <w:rsid w:val="00D7077B"/>
    <w:rsid w:val="00D7185B"/>
    <w:rsid w:val="00D851B4"/>
    <w:rsid w:val="00D86CE1"/>
    <w:rsid w:val="00DC1AD9"/>
    <w:rsid w:val="00DC270D"/>
    <w:rsid w:val="00DC4E75"/>
    <w:rsid w:val="00DC7287"/>
    <w:rsid w:val="00DD040E"/>
    <w:rsid w:val="00DD48B9"/>
    <w:rsid w:val="00E16CC7"/>
    <w:rsid w:val="00E242A3"/>
    <w:rsid w:val="00E321F0"/>
    <w:rsid w:val="00E37925"/>
    <w:rsid w:val="00E43FFE"/>
    <w:rsid w:val="00E449E1"/>
    <w:rsid w:val="00E46BFD"/>
    <w:rsid w:val="00E47F7A"/>
    <w:rsid w:val="00E54733"/>
    <w:rsid w:val="00E60942"/>
    <w:rsid w:val="00E636FA"/>
    <w:rsid w:val="00E6745F"/>
    <w:rsid w:val="00EA43EE"/>
    <w:rsid w:val="00EB050C"/>
    <w:rsid w:val="00EC0C24"/>
    <w:rsid w:val="00EC102E"/>
    <w:rsid w:val="00ED58D1"/>
    <w:rsid w:val="00EE3E3E"/>
    <w:rsid w:val="00EE4D48"/>
    <w:rsid w:val="00EE52B5"/>
    <w:rsid w:val="00EF0CF7"/>
    <w:rsid w:val="00EF3B0C"/>
    <w:rsid w:val="00F0039E"/>
    <w:rsid w:val="00F10BD6"/>
    <w:rsid w:val="00F202C4"/>
    <w:rsid w:val="00F27662"/>
    <w:rsid w:val="00F42FA8"/>
    <w:rsid w:val="00F532E5"/>
    <w:rsid w:val="00F60A7A"/>
    <w:rsid w:val="00F610D9"/>
    <w:rsid w:val="00F66751"/>
    <w:rsid w:val="00F7026D"/>
    <w:rsid w:val="00F76E70"/>
    <w:rsid w:val="00F87033"/>
    <w:rsid w:val="00FA4E3B"/>
    <w:rsid w:val="00FA6166"/>
    <w:rsid w:val="00FB5B02"/>
    <w:rsid w:val="00FD0BE6"/>
    <w:rsid w:val="00FE464D"/>
    <w:rsid w:val="00FE5602"/>
    <w:rsid w:val="00FE6CBD"/>
    <w:rsid w:val="00FE6D60"/>
    <w:rsid w:val="00FF3350"/>
    <w:rsid w:val="00FF43D5"/>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67F2A"/>
  <w15:chartTrackingRefBased/>
  <w15:docId w15:val="{24724EA7-4B34-C948-A246-B55D442B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12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2C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30CD4"/>
    <w:pPr>
      <w:keepNext/>
      <w:keepLines/>
      <w:tabs>
        <w:tab w:val="left" w:pos="567"/>
      </w:tabs>
      <w:snapToGrid w:val="0"/>
      <w:spacing w:after="240" w:line="240" w:lineRule="auto"/>
      <w:outlineLvl w:val="2"/>
    </w:pPr>
    <w:rPr>
      <w:rFonts w:ascii="Arial" w:eastAsia="Arial Unicode MS" w:hAnsi="Arial" w:cs="Times New Roman"/>
      <w:b/>
      <w:bCs/>
      <w:snapToGrid w:val="0"/>
    </w:rPr>
  </w:style>
  <w:style w:type="paragraph" w:styleId="Heading7">
    <w:name w:val="heading 7"/>
    <w:basedOn w:val="Normal"/>
    <w:next w:val="Normal"/>
    <w:link w:val="Heading7Char"/>
    <w:qFormat/>
    <w:rsid w:val="00606BC6"/>
    <w:pPr>
      <w:keepNext/>
      <w:widowControl w:val="0"/>
      <w:tabs>
        <w:tab w:val="left" w:pos="567"/>
      </w:tabs>
      <w:adjustRightInd w:val="0"/>
      <w:snapToGrid w:val="0"/>
      <w:spacing w:after="0" w:line="360" w:lineRule="atLeast"/>
      <w:jc w:val="both"/>
      <w:textAlignment w:val="baseline"/>
      <w:outlineLvl w:val="6"/>
    </w:pPr>
    <w:rPr>
      <w:rFonts w:ascii="Arial" w:eastAsia="Times New Roman" w:hAnsi="Arial" w:cs="Times New Roman"/>
      <w:snapToGrid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1D"/>
    <w:pPr>
      <w:ind w:left="720"/>
      <w:contextualSpacing/>
    </w:pPr>
  </w:style>
  <w:style w:type="character" w:customStyle="1" w:styleId="Heading3Char">
    <w:name w:val="Heading 3 Char"/>
    <w:basedOn w:val="DefaultParagraphFont"/>
    <w:link w:val="Heading3"/>
    <w:rsid w:val="00A30CD4"/>
    <w:rPr>
      <w:rFonts w:ascii="Arial" w:eastAsia="Arial Unicode MS" w:hAnsi="Arial" w:cs="Times New Roman"/>
      <w:b/>
      <w:bCs/>
      <w:snapToGrid w:val="0"/>
      <w:lang w:val="en-GB"/>
    </w:rPr>
  </w:style>
  <w:style w:type="paragraph" w:styleId="Header">
    <w:name w:val="header"/>
    <w:basedOn w:val="Normal"/>
    <w:link w:val="HeaderChar"/>
    <w:unhideWhenUsed/>
    <w:rsid w:val="0011621D"/>
    <w:pPr>
      <w:tabs>
        <w:tab w:val="center" w:pos="4703"/>
        <w:tab w:val="right" w:pos="9406"/>
      </w:tabs>
      <w:spacing w:after="0" w:line="240" w:lineRule="auto"/>
    </w:pPr>
  </w:style>
  <w:style w:type="character" w:customStyle="1" w:styleId="HeaderChar">
    <w:name w:val="Header Char"/>
    <w:basedOn w:val="DefaultParagraphFont"/>
    <w:link w:val="Header"/>
    <w:rsid w:val="0011621D"/>
  </w:style>
  <w:style w:type="paragraph" w:styleId="Footer">
    <w:name w:val="footer"/>
    <w:basedOn w:val="Normal"/>
    <w:link w:val="FooterChar"/>
    <w:uiPriority w:val="99"/>
    <w:unhideWhenUsed/>
    <w:rsid w:val="001162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621D"/>
  </w:style>
  <w:style w:type="paragraph" w:customStyle="1" w:styleId="Marge">
    <w:name w:val="Marge"/>
    <w:basedOn w:val="Normal"/>
    <w:link w:val="MargeChar"/>
    <w:rsid w:val="0011621D"/>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har">
    <w:name w:val="Marge Char"/>
    <w:basedOn w:val="DefaultParagraphFont"/>
    <w:link w:val="Marge"/>
    <w:rsid w:val="0011621D"/>
    <w:rPr>
      <w:rFonts w:ascii="Arial" w:eastAsia="Times New Roman" w:hAnsi="Arial" w:cs="Times New Roman"/>
      <w:snapToGrid w:val="0"/>
      <w:szCs w:val="24"/>
      <w:lang w:val="en-GB"/>
    </w:rPr>
  </w:style>
  <w:style w:type="paragraph" w:styleId="BalloonText">
    <w:name w:val="Balloon Text"/>
    <w:basedOn w:val="Normal"/>
    <w:link w:val="BalloonTextChar"/>
    <w:uiPriority w:val="99"/>
    <w:semiHidden/>
    <w:unhideWhenUsed/>
    <w:rsid w:val="00116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1D"/>
    <w:rPr>
      <w:rFonts w:ascii="Segoe UI" w:hAnsi="Segoe UI" w:cs="Segoe UI"/>
      <w:sz w:val="18"/>
      <w:szCs w:val="18"/>
    </w:rPr>
  </w:style>
  <w:style w:type="paragraph" w:customStyle="1" w:styleId="Normal1">
    <w:name w:val="Normal1"/>
    <w:rsid w:val="0011621D"/>
    <w:pPr>
      <w:spacing w:after="0" w:line="276" w:lineRule="auto"/>
    </w:pPr>
    <w:rPr>
      <w:rFonts w:ascii="Arial" w:eastAsia="Arial" w:hAnsi="Arial" w:cs="Arial"/>
      <w:lang w:val="nl"/>
    </w:rPr>
  </w:style>
  <w:style w:type="paragraph" w:customStyle="1" w:styleId="normal10">
    <w:name w:val="normal1"/>
    <w:basedOn w:val="Normal"/>
    <w:rsid w:val="00116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621D"/>
  </w:style>
  <w:style w:type="paragraph" w:styleId="FootnoteText">
    <w:name w:val="footnote text"/>
    <w:basedOn w:val="Normal"/>
    <w:link w:val="FootnoteTextChar"/>
    <w:uiPriority w:val="99"/>
    <w:semiHidden/>
    <w:unhideWhenUsed/>
    <w:rsid w:val="00E63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6FA"/>
    <w:rPr>
      <w:sz w:val="20"/>
      <w:szCs w:val="20"/>
    </w:rPr>
  </w:style>
  <w:style w:type="character" w:styleId="FootnoteReference">
    <w:name w:val="footnote reference"/>
    <w:basedOn w:val="DefaultParagraphFont"/>
    <w:uiPriority w:val="99"/>
    <w:unhideWhenUsed/>
    <w:rsid w:val="00E636FA"/>
    <w:rPr>
      <w:vertAlign w:val="superscript"/>
    </w:rPr>
  </w:style>
  <w:style w:type="character" w:styleId="Hyperlink">
    <w:name w:val="Hyperlink"/>
    <w:basedOn w:val="DefaultParagraphFont"/>
    <w:uiPriority w:val="99"/>
    <w:rsid w:val="003C3F83"/>
    <w:rPr>
      <w:color w:val="0563C1" w:themeColor="hyperlink"/>
      <w:u w:val="single"/>
    </w:rPr>
  </w:style>
  <w:style w:type="table" w:styleId="TableGrid">
    <w:name w:val="Table Grid"/>
    <w:basedOn w:val="TableNormal"/>
    <w:uiPriority w:val="39"/>
    <w:rsid w:val="00FA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7A21"/>
  </w:style>
  <w:style w:type="character" w:styleId="CommentReference">
    <w:name w:val="annotation reference"/>
    <w:basedOn w:val="DefaultParagraphFont"/>
    <w:unhideWhenUsed/>
    <w:rsid w:val="00D47374"/>
    <w:rPr>
      <w:sz w:val="16"/>
      <w:szCs w:val="16"/>
    </w:rPr>
  </w:style>
  <w:style w:type="paragraph" w:styleId="CommentText">
    <w:name w:val="annotation text"/>
    <w:basedOn w:val="Normal"/>
    <w:link w:val="CommentTextChar"/>
    <w:unhideWhenUsed/>
    <w:rsid w:val="00D47374"/>
    <w:pPr>
      <w:spacing w:line="240" w:lineRule="auto"/>
    </w:pPr>
    <w:rPr>
      <w:sz w:val="20"/>
      <w:szCs w:val="20"/>
    </w:rPr>
  </w:style>
  <w:style w:type="character" w:customStyle="1" w:styleId="CommentTextChar">
    <w:name w:val="Comment Text Char"/>
    <w:basedOn w:val="DefaultParagraphFont"/>
    <w:link w:val="CommentText"/>
    <w:rsid w:val="00D47374"/>
    <w:rPr>
      <w:sz w:val="20"/>
      <w:szCs w:val="20"/>
    </w:rPr>
  </w:style>
  <w:style w:type="paragraph" w:styleId="CommentSubject">
    <w:name w:val="annotation subject"/>
    <w:basedOn w:val="CommentText"/>
    <w:next w:val="CommentText"/>
    <w:link w:val="CommentSubjectChar"/>
    <w:uiPriority w:val="99"/>
    <w:semiHidden/>
    <w:unhideWhenUsed/>
    <w:rsid w:val="00D47374"/>
    <w:rPr>
      <w:b/>
      <w:bCs/>
    </w:rPr>
  </w:style>
  <w:style w:type="character" w:customStyle="1" w:styleId="CommentSubjectChar">
    <w:name w:val="Comment Subject Char"/>
    <w:basedOn w:val="CommentTextChar"/>
    <w:link w:val="CommentSubject"/>
    <w:uiPriority w:val="99"/>
    <w:semiHidden/>
    <w:rsid w:val="00D47374"/>
    <w:rPr>
      <w:b/>
      <w:bCs/>
      <w:sz w:val="20"/>
      <w:szCs w:val="20"/>
    </w:rPr>
  </w:style>
  <w:style w:type="paragraph" w:styleId="Revision">
    <w:name w:val="Revision"/>
    <w:hidden/>
    <w:uiPriority w:val="99"/>
    <w:semiHidden/>
    <w:rsid w:val="00D47374"/>
    <w:pPr>
      <w:spacing w:after="0" w:line="240" w:lineRule="auto"/>
    </w:pPr>
  </w:style>
  <w:style w:type="character" w:styleId="FollowedHyperlink">
    <w:name w:val="FollowedHyperlink"/>
    <w:basedOn w:val="DefaultParagraphFont"/>
    <w:uiPriority w:val="99"/>
    <w:semiHidden/>
    <w:unhideWhenUsed/>
    <w:rsid w:val="00600331"/>
    <w:rPr>
      <w:color w:val="954F72" w:themeColor="followedHyperlink"/>
      <w:u w:val="single"/>
    </w:rPr>
  </w:style>
  <w:style w:type="character" w:customStyle="1" w:styleId="Heading1Char">
    <w:name w:val="Heading 1 Char"/>
    <w:basedOn w:val="DefaultParagraphFont"/>
    <w:link w:val="Heading1"/>
    <w:rsid w:val="00812C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2C2F"/>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rsid w:val="00606BC6"/>
    <w:rPr>
      <w:rFonts w:ascii="Arial" w:eastAsia="Times New Roman" w:hAnsi="Arial" w:cs="Times New Roman"/>
      <w:snapToGrid w:val="0"/>
      <w:szCs w:val="24"/>
      <w:u w:val="single"/>
      <w:lang w:val="en-GB"/>
    </w:rPr>
  </w:style>
  <w:style w:type="character" w:customStyle="1" w:styleId="UnresolvedMention1">
    <w:name w:val="Unresolved Mention1"/>
    <w:basedOn w:val="DefaultParagraphFont"/>
    <w:uiPriority w:val="99"/>
    <w:semiHidden/>
    <w:unhideWhenUsed/>
    <w:rsid w:val="00142A14"/>
    <w:rPr>
      <w:color w:val="605E5C"/>
      <w:shd w:val="clear" w:color="auto" w:fill="E1DFDD"/>
    </w:rPr>
  </w:style>
  <w:style w:type="paragraph" w:customStyle="1" w:styleId="Default">
    <w:name w:val="Default"/>
    <w:rsid w:val="00EE52B5"/>
    <w:pPr>
      <w:autoSpaceDE w:val="0"/>
      <w:autoSpaceDN w:val="0"/>
      <w:adjustRightInd w:val="0"/>
      <w:spacing w:after="0" w:line="240" w:lineRule="auto"/>
    </w:pPr>
    <w:rPr>
      <w:rFonts w:ascii="Arial" w:hAnsi="Arial" w:cs="Arial"/>
      <w:color w:val="000000"/>
      <w:sz w:val="24"/>
      <w:szCs w:val="24"/>
      <w:lang w:val="fr-FR"/>
    </w:rPr>
  </w:style>
  <w:style w:type="paragraph" w:styleId="Caption">
    <w:name w:val="caption"/>
    <w:basedOn w:val="Normal"/>
    <w:next w:val="Normal"/>
    <w:uiPriority w:val="35"/>
    <w:unhideWhenUsed/>
    <w:qFormat/>
    <w:rsid w:val="00545254"/>
    <w:pPr>
      <w:spacing w:after="200" w:line="240" w:lineRule="auto"/>
    </w:pPr>
    <w:rPr>
      <w:rFonts w:eastAsiaTheme="minorEastAsia"/>
      <w:i/>
      <w:iCs/>
      <w:color w:val="44546A" w:themeColor="text2"/>
      <w:sz w:val="18"/>
      <w:szCs w:val="18"/>
      <w:lang w:val="fr-FR" w:eastAsia="zh-CN"/>
    </w:rPr>
  </w:style>
  <w:style w:type="table" w:customStyle="1" w:styleId="TableGrid1">
    <w:name w:val="Table Grid1"/>
    <w:basedOn w:val="TableNormal"/>
    <w:next w:val="TableGrid"/>
    <w:uiPriority w:val="39"/>
    <w:rsid w:val="00545254"/>
    <w:pPr>
      <w:spacing w:after="0" w:line="240" w:lineRule="auto"/>
    </w:pPr>
    <w:rPr>
      <w:rFonts w:eastAsia="DengXi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60DB7"/>
    <w:rPr>
      <w:color w:val="605E5C"/>
      <w:shd w:val="clear" w:color="auto" w:fill="E1DFDD"/>
    </w:rPr>
  </w:style>
  <w:style w:type="character" w:customStyle="1" w:styleId="UnresolvedMention3">
    <w:name w:val="Unresolved Mention3"/>
    <w:basedOn w:val="DefaultParagraphFont"/>
    <w:uiPriority w:val="99"/>
    <w:semiHidden/>
    <w:unhideWhenUsed/>
    <w:rsid w:val="002C21D8"/>
    <w:rPr>
      <w:color w:val="605E5C"/>
      <w:shd w:val="clear" w:color="auto" w:fill="E1DFDD"/>
    </w:rPr>
  </w:style>
  <w:style w:type="character" w:customStyle="1" w:styleId="hgkelc">
    <w:name w:val="hgkelc"/>
    <w:basedOn w:val="DefaultParagraphFont"/>
    <w:rsid w:val="00072A3C"/>
  </w:style>
  <w:style w:type="paragraph" w:styleId="BodyText2">
    <w:name w:val="Body Text 2"/>
    <w:basedOn w:val="Normal"/>
    <w:link w:val="BodyText2Char"/>
    <w:rsid w:val="000B7937"/>
    <w:pPr>
      <w:tabs>
        <w:tab w:val="left" w:pos="567"/>
      </w:tabs>
      <w:snapToGrid w:val="0"/>
      <w:spacing w:after="0" w:line="240" w:lineRule="auto"/>
    </w:pPr>
    <w:rPr>
      <w:rFonts w:ascii="Times New Roman" w:eastAsia="Times New Roman" w:hAnsi="Times New Roman" w:cs="Times New Roman"/>
      <w:i/>
      <w:iCs/>
      <w:snapToGrid w:val="0"/>
      <w:color w:val="000000"/>
      <w:sz w:val="24"/>
      <w:szCs w:val="24"/>
    </w:rPr>
  </w:style>
  <w:style w:type="character" w:customStyle="1" w:styleId="BodyText2Char">
    <w:name w:val="Body Text 2 Char"/>
    <w:basedOn w:val="DefaultParagraphFont"/>
    <w:link w:val="BodyText2"/>
    <w:rsid w:val="000B7937"/>
    <w:rPr>
      <w:rFonts w:ascii="Times New Roman" w:eastAsia="Times New Roman" w:hAnsi="Times New Roman" w:cs="Times New Roman"/>
      <w:i/>
      <w:iCs/>
      <w:snapToGrid w:val="0"/>
      <w:color w:val="000000"/>
      <w:sz w:val="24"/>
      <w:szCs w:val="24"/>
      <w:lang w:val="en-GB"/>
    </w:rPr>
  </w:style>
  <w:style w:type="paragraph" w:customStyle="1" w:styleId="Quick1">
    <w:name w:val="Quick 1."/>
    <w:basedOn w:val="Normal"/>
    <w:rsid w:val="000B7937"/>
    <w:pPr>
      <w:widowControl w:val="0"/>
      <w:numPr>
        <w:numId w:val="8"/>
      </w:numPr>
      <w:spacing w:after="0" w:line="240" w:lineRule="auto"/>
      <w:jc w:val="both"/>
    </w:pPr>
    <w:rPr>
      <w:rFonts w:ascii="Times New Roman" w:eastAsia="Times New Roman" w:hAnsi="Times New Roman" w:cs="Times New Roman"/>
      <w:snapToGrid w:val="0"/>
      <w:lang w:val="en-AU"/>
    </w:rPr>
  </w:style>
  <w:style w:type="paragraph" w:customStyle="1" w:styleId="Style2">
    <w:name w:val="Style2"/>
    <w:basedOn w:val="Normal"/>
    <w:link w:val="Style2Car"/>
    <w:qFormat/>
    <w:rsid w:val="000B7937"/>
    <w:pPr>
      <w:shd w:val="clear" w:color="auto" w:fill="FFFFFF"/>
      <w:tabs>
        <w:tab w:val="num" w:pos="1400"/>
      </w:tabs>
      <w:spacing w:after="240" w:line="240" w:lineRule="auto"/>
      <w:ind w:left="720"/>
      <w:jc w:val="both"/>
    </w:pPr>
    <w:rPr>
      <w:rFonts w:ascii="Arial" w:eastAsia="Times New Roman" w:hAnsi="Arial" w:cs="Times New Roman"/>
      <w:iCs/>
      <w:snapToGrid w:val="0"/>
    </w:rPr>
  </w:style>
  <w:style w:type="character" w:customStyle="1" w:styleId="Style2Car">
    <w:name w:val="Style2 Car"/>
    <w:basedOn w:val="DefaultParagraphFont"/>
    <w:link w:val="Style2"/>
    <w:rsid w:val="000B7937"/>
    <w:rPr>
      <w:rFonts w:ascii="Arial" w:eastAsia="Times New Roman" w:hAnsi="Arial" w:cs="Times New Roman"/>
      <w:iCs/>
      <w:snapToGrid w:val="0"/>
      <w:shd w:val="clear" w:color="auto" w:fill="FFFFFF"/>
      <w:lang w:val="en-GB"/>
    </w:rPr>
  </w:style>
  <w:style w:type="character" w:styleId="UnresolvedMention">
    <w:name w:val="Unresolved Mention"/>
    <w:basedOn w:val="DefaultParagraphFont"/>
    <w:uiPriority w:val="99"/>
    <w:semiHidden/>
    <w:unhideWhenUsed/>
    <w:rsid w:val="00EE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8034">
      <w:bodyDiv w:val="1"/>
      <w:marLeft w:val="0"/>
      <w:marRight w:val="0"/>
      <w:marTop w:val="0"/>
      <w:marBottom w:val="0"/>
      <w:divBdr>
        <w:top w:val="none" w:sz="0" w:space="0" w:color="auto"/>
        <w:left w:val="none" w:sz="0" w:space="0" w:color="auto"/>
        <w:bottom w:val="none" w:sz="0" w:space="0" w:color="auto"/>
        <w:right w:val="none" w:sz="0" w:space="0" w:color="auto"/>
      </w:divBdr>
    </w:div>
    <w:div w:id="126824192">
      <w:bodyDiv w:val="1"/>
      <w:marLeft w:val="0"/>
      <w:marRight w:val="0"/>
      <w:marTop w:val="0"/>
      <w:marBottom w:val="0"/>
      <w:divBdr>
        <w:top w:val="none" w:sz="0" w:space="0" w:color="auto"/>
        <w:left w:val="none" w:sz="0" w:space="0" w:color="auto"/>
        <w:bottom w:val="none" w:sz="0" w:space="0" w:color="auto"/>
        <w:right w:val="none" w:sz="0" w:space="0" w:color="auto"/>
      </w:divBdr>
    </w:div>
    <w:div w:id="204372279">
      <w:bodyDiv w:val="1"/>
      <w:marLeft w:val="0"/>
      <w:marRight w:val="0"/>
      <w:marTop w:val="0"/>
      <w:marBottom w:val="0"/>
      <w:divBdr>
        <w:top w:val="none" w:sz="0" w:space="0" w:color="auto"/>
        <w:left w:val="none" w:sz="0" w:space="0" w:color="auto"/>
        <w:bottom w:val="none" w:sz="0" w:space="0" w:color="auto"/>
        <w:right w:val="none" w:sz="0" w:space="0" w:color="auto"/>
      </w:divBdr>
    </w:div>
    <w:div w:id="350767265">
      <w:bodyDiv w:val="1"/>
      <w:marLeft w:val="0"/>
      <w:marRight w:val="0"/>
      <w:marTop w:val="0"/>
      <w:marBottom w:val="0"/>
      <w:divBdr>
        <w:top w:val="none" w:sz="0" w:space="0" w:color="auto"/>
        <w:left w:val="none" w:sz="0" w:space="0" w:color="auto"/>
        <w:bottom w:val="none" w:sz="0" w:space="0" w:color="auto"/>
        <w:right w:val="none" w:sz="0" w:space="0" w:color="auto"/>
      </w:divBdr>
    </w:div>
    <w:div w:id="373771593">
      <w:bodyDiv w:val="1"/>
      <w:marLeft w:val="0"/>
      <w:marRight w:val="0"/>
      <w:marTop w:val="0"/>
      <w:marBottom w:val="0"/>
      <w:divBdr>
        <w:top w:val="none" w:sz="0" w:space="0" w:color="auto"/>
        <w:left w:val="none" w:sz="0" w:space="0" w:color="auto"/>
        <w:bottom w:val="none" w:sz="0" w:space="0" w:color="auto"/>
        <w:right w:val="none" w:sz="0" w:space="0" w:color="auto"/>
      </w:divBdr>
    </w:div>
    <w:div w:id="953515530">
      <w:bodyDiv w:val="1"/>
      <w:marLeft w:val="0"/>
      <w:marRight w:val="0"/>
      <w:marTop w:val="0"/>
      <w:marBottom w:val="0"/>
      <w:divBdr>
        <w:top w:val="none" w:sz="0" w:space="0" w:color="auto"/>
        <w:left w:val="none" w:sz="0" w:space="0" w:color="auto"/>
        <w:bottom w:val="none" w:sz="0" w:space="0" w:color="auto"/>
        <w:right w:val="none" w:sz="0" w:space="0" w:color="auto"/>
      </w:divBdr>
    </w:div>
    <w:div w:id="1066874910">
      <w:bodyDiv w:val="1"/>
      <w:marLeft w:val="0"/>
      <w:marRight w:val="0"/>
      <w:marTop w:val="0"/>
      <w:marBottom w:val="0"/>
      <w:divBdr>
        <w:top w:val="none" w:sz="0" w:space="0" w:color="auto"/>
        <w:left w:val="none" w:sz="0" w:space="0" w:color="auto"/>
        <w:bottom w:val="none" w:sz="0" w:space="0" w:color="auto"/>
        <w:right w:val="none" w:sz="0" w:space="0" w:color="auto"/>
      </w:divBdr>
    </w:div>
    <w:div w:id="1099108957">
      <w:bodyDiv w:val="1"/>
      <w:marLeft w:val="0"/>
      <w:marRight w:val="0"/>
      <w:marTop w:val="0"/>
      <w:marBottom w:val="0"/>
      <w:divBdr>
        <w:top w:val="none" w:sz="0" w:space="0" w:color="auto"/>
        <w:left w:val="none" w:sz="0" w:space="0" w:color="auto"/>
        <w:bottom w:val="none" w:sz="0" w:space="0" w:color="auto"/>
        <w:right w:val="none" w:sz="0" w:space="0" w:color="auto"/>
      </w:divBdr>
    </w:div>
    <w:div w:id="1176387220">
      <w:bodyDiv w:val="1"/>
      <w:marLeft w:val="0"/>
      <w:marRight w:val="0"/>
      <w:marTop w:val="0"/>
      <w:marBottom w:val="0"/>
      <w:divBdr>
        <w:top w:val="none" w:sz="0" w:space="0" w:color="auto"/>
        <w:left w:val="none" w:sz="0" w:space="0" w:color="auto"/>
        <w:bottom w:val="none" w:sz="0" w:space="0" w:color="auto"/>
        <w:right w:val="none" w:sz="0" w:space="0" w:color="auto"/>
      </w:divBdr>
    </w:div>
    <w:div w:id="1195540122">
      <w:bodyDiv w:val="1"/>
      <w:marLeft w:val="0"/>
      <w:marRight w:val="0"/>
      <w:marTop w:val="0"/>
      <w:marBottom w:val="0"/>
      <w:divBdr>
        <w:top w:val="none" w:sz="0" w:space="0" w:color="auto"/>
        <w:left w:val="none" w:sz="0" w:space="0" w:color="auto"/>
        <w:bottom w:val="none" w:sz="0" w:space="0" w:color="auto"/>
        <w:right w:val="none" w:sz="0" w:space="0" w:color="auto"/>
      </w:divBdr>
    </w:div>
    <w:div w:id="1365015648">
      <w:bodyDiv w:val="1"/>
      <w:marLeft w:val="0"/>
      <w:marRight w:val="0"/>
      <w:marTop w:val="0"/>
      <w:marBottom w:val="0"/>
      <w:divBdr>
        <w:top w:val="none" w:sz="0" w:space="0" w:color="auto"/>
        <w:left w:val="none" w:sz="0" w:space="0" w:color="auto"/>
        <w:bottom w:val="none" w:sz="0" w:space="0" w:color="auto"/>
        <w:right w:val="none" w:sz="0" w:space="0" w:color="auto"/>
      </w:divBdr>
    </w:div>
    <w:div w:id="1379469550">
      <w:bodyDiv w:val="1"/>
      <w:marLeft w:val="0"/>
      <w:marRight w:val="0"/>
      <w:marTop w:val="0"/>
      <w:marBottom w:val="0"/>
      <w:divBdr>
        <w:top w:val="none" w:sz="0" w:space="0" w:color="auto"/>
        <w:left w:val="none" w:sz="0" w:space="0" w:color="auto"/>
        <w:bottom w:val="none" w:sz="0" w:space="0" w:color="auto"/>
        <w:right w:val="none" w:sz="0" w:space="0" w:color="auto"/>
      </w:divBdr>
    </w:div>
    <w:div w:id="1419448514">
      <w:bodyDiv w:val="1"/>
      <w:marLeft w:val="0"/>
      <w:marRight w:val="0"/>
      <w:marTop w:val="0"/>
      <w:marBottom w:val="0"/>
      <w:divBdr>
        <w:top w:val="none" w:sz="0" w:space="0" w:color="auto"/>
        <w:left w:val="none" w:sz="0" w:space="0" w:color="auto"/>
        <w:bottom w:val="none" w:sz="0" w:space="0" w:color="auto"/>
        <w:right w:val="none" w:sz="0" w:space="0" w:color="auto"/>
      </w:divBdr>
    </w:div>
    <w:div w:id="1546867632">
      <w:bodyDiv w:val="1"/>
      <w:marLeft w:val="0"/>
      <w:marRight w:val="0"/>
      <w:marTop w:val="0"/>
      <w:marBottom w:val="0"/>
      <w:divBdr>
        <w:top w:val="none" w:sz="0" w:space="0" w:color="auto"/>
        <w:left w:val="none" w:sz="0" w:space="0" w:color="auto"/>
        <w:bottom w:val="none" w:sz="0" w:space="0" w:color="auto"/>
        <w:right w:val="none" w:sz="0" w:space="0" w:color="auto"/>
      </w:divBdr>
    </w:div>
    <w:div w:id="1556241182">
      <w:bodyDiv w:val="1"/>
      <w:marLeft w:val="0"/>
      <w:marRight w:val="0"/>
      <w:marTop w:val="0"/>
      <w:marBottom w:val="0"/>
      <w:divBdr>
        <w:top w:val="none" w:sz="0" w:space="0" w:color="auto"/>
        <w:left w:val="none" w:sz="0" w:space="0" w:color="auto"/>
        <w:bottom w:val="none" w:sz="0" w:space="0" w:color="auto"/>
        <w:right w:val="none" w:sz="0" w:space="0" w:color="auto"/>
      </w:divBdr>
    </w:div>
    <w:div w:id="1646162364">
      <w:bodyDiv w:val="1"/>
      <w:marLeft w:val="0"/>
      <w:marRight w:val="0"/>
      <w:marTop w:val="0"/>
      <w:marBottom w:val="0"/>
      <w:divBdr>
        <w:top w:val="none" w:sz="0" w:space="0" w:color="auto"/>
        <w:left w:val="none" w:sz="0" w:space="0" w:color="auto"/>
        <w:bottom w:val="none" w:sz="0" w:space="0" w:color="auto"/>
        <w:right w:val="none" w:sz="0" w:space="0" w:color="auto"/>
      </w:divBdr>
    </w:div>
    <w:div w:id="1687906599">
      <w:bodyDiv w:val="1"/>
      <w:marLeft w:val="0"/>
      <w:marRight w:val="0"/>
      <w:marTop w:val="0"/>
      <w:marBottom w:val="0"/>
      <w:divBdr>
        <w:top w:val="none" w:sz="0" w:space="0" w:color="auto"/>
        <w:left w:val="none" w:sz="0" w:space="0" w:color="auto"/>
        <w:bottom w:val="none" w:sz="0" w:space="0" w:color="auto"/>
        <w:right w:val="none" w:sz="0" w:space="0" w:color="auto"/>
      </w:divBdr>
    </w:div>
    <w:div w:id="1689216034">
      <w:bodyDiv w:val="1"/>
      <w:marLeft w:val="0"/>
      <w:marRight w:val="0"/>
      <w:marTop w:val="0"/>
      <w:marBottom w:val="0"/>
      <w:divBdr>
        <w:top w:val="none" w:sz="0" w:space="0" w:color="auto"/>
        <w:left w:val="none" w:sz="0" w:space="0" w:color="auto"/>
        <w:bottom w:val="none" w:sz="0" w:space="0" w:color="auto"/>
        <w:right w:val="none" w:sz="0" w:space="0" w:color="auto"/>
      </w:divBdr>
    </w:div>
    <w:div w:id="1735539862">
      <w:bodyDiv w:val="1"/>
      <w:marLeft w:val="0"/>
      <w:marRight w:val="0"/>
      <w:marTop w:val="0"/>
      <w:marBottom w:val="0"/>
      <w:divBdr>
        <w:top w:val="none" w:sz="0" w:space="0" w:color="auto"/>
        <w:left w:val="none" w:sz="0" w:space="0" w:color="auto"/>
        <w:bottom w:val="none" w:sz="0" w:space="0" w:color="auto"/>
        <w:right w:val="none" w:sz="0" w:space="0" w:color="auto"/>
      </w:divBdr>
    </w:div>
    <w:div w:id="1787850861">
      <w:bodyDiv w:val="1"/>
      <w:marLeft w:val="0"/>
      <w:marRight w:val="0"/>
      <w:marTop w:val="0"/>
      <w:marBottom w:val="0"/>
      <w:divBdr>
        <w:top w:val="none" w:sz="0" w:space="0" w:color="auto"/>
        <w:left w:val="none" w:sz="0" w:space="0" w:color="auto"/>
        <w:bottom w:val="none" w:sz="0" w:space="0" w:color="auto"/>
        <w:right w:val="none" w:sz="0" w:space="0" w:color="auto"/>
      </w:divBdr>
    </w:div>
    <w:div w:id="1949652064">
      <w:bodyDiv w:val="1"/>
      <w:marLeft w:val="0"/>
      <w:marRight w:val="0"/>
      <w:marTop w:val="0"/>
      <w:marBottom w:val="0"/>
      <w:divBdr>
        <w:top w:val="none" w:sz="0" w:space="0" w:color="auto"/>
        <w:left w:val="none" w:sz="0" w:space="0" w:color="auto"/>
        <w:bottom w:val="none" w:sz="0" w:space="0" w:color="auto"/>
        <w:right w:val="none" w:sz="0" w:space="0" w:color="auto"/>
      </w:divBdr>
    </w:div>
    <w:div w:id="19842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6779" TargetMode="External"/><Relationship Id="rId13" Type="http://schemas.openxmlformats.org/officeDocument/2006/relationships/hyperlink" Target="https://oceanexpert.org/event/2855"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unesdoc.unesco.org/ark:/48223/pf0000368020.locale=en" TargetMode="External"/><Relationship Id="rId17" Type="http://schemas.openxmlformats.org/officeDocument/2006/relationships/hyperlink" Target="https://unesdoc.unesco.org/ark:/48223/pf0000374576.local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esdoc.unesco.org/ark:/48223/pf0000374421.locale=en" TargetMode="External"/><Relationship Id="rId20" Type="http://schemas.openxmlformats.org/officeDocument/2006/relationships/hyperlink" Target="https://unesdoc.unesco.org/ark:/48223/pf0000374540.local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unesdoc.unesco.org/in/documentViewer.xhtml?v=2.1.196&amp;id=p::usmarcdef_0000372267&amp;file=/in/rest/annotationSVC/DownloadWatermarkedAttachment/attach_import_700a4644-4eaa-4f02-b906-ce3ab4e757b2%3F_%3D372267eng.pdf&amp;updateUrl=updateUrl6582&amp;ark=/ark:/48223/pf0000372267/PDF/372267eng.pdf.multi&amp;fullScreen=true&amp;locale=en"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oc-unesco.org/index.php?option=com_oe&amp;task=viewDocumentRecord&amp;docID=22215"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EA8F-A2F2-44E5-BB73-DC9E9EF5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3807</Words>
  <Characters>20942</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Isensee</dc:creator>
  <cp:keywords/>
  <dc:description/>
  <cp:lastModifiedBy>Boned, Patrice</cp:lastModifiedBy>
  <cp:revision>3</cp:revision>
  <cp:lastPrinted>2021-01-04T10:39:00Z</cp:lastPrinted>
  <dcterms:created xsi:type="dcterms:W3CDTF">2021-01-04T10:38:00Z</dcterms:created>
  <dcterms:modified xsi:type="dcterms:W3CDTF">2021-01-04T15:58:00Z</dcterms:modified>
</cp:coreProperties>
</file>