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6842FA" w14:paraId="3C117C10" w14:textId="77777777" w:rsidTr="008322C3">
        <w:trPr>
          <w:jc w:val="center"/>
        </w:trPr>
        <w:tc>
          <w:tcPr>
            <w:tcW w:w="7654" w:type="dxa"/>
            <w:tcBorders>
              <w:bottom w:val="single" w:sz="4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CF98B5A" w14:textId="77777777" w:rsidR="00467E3F" w:rsidRPr="00214D0A" w:rsidRDefault="00B83068" w:rsidP="00853565">
            <w:pPr>
              <w:pStyle w:val="Marge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Резюме</w:t>
            </w:r>
          </w:p>
          <w:p w14:paraId="2599E93B" w14:textId="526BB57F" w:rsidR="004C05A6" w:rsidRPr="00214D0A" w:rsidRDefault="004C05A6" w:rsidP="008322C3">
            <w:pPr>
              <w:pStyle w:val="Marge"/>
              <w:spacing w:after="120"/>
              <w:ind w:left="-34" w:firstLine="34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  <w:lang w:val="ru"/>
              </w:rPr>
              <w:t>Действующая политика МОК в области обмена океанографическими данными (</w:t>
            </w:r>
            <w:hyperlink r:id="rId8" w:history="1">
              <w:r>
                <w:rPr>
                  <w:rStyle w:val="Hyperlink"/>
                  <w:rFonts w:cs="Arial"/>
                  <w:szCs w:val="22"/>
                  <w:lang w:val="ru"/>
                </w:rPr>
                <w:t>http://www.iode.org/policy</w:t>
              </w:r>
            </w:hyperlink>
            <w:r>
              <w:rPr>
                <w:rFonts w:cs="Arial"/>
                <w:szCs w:val="22"/>
                <w:lang w:val="ru"/>
              </w:rPr>
              <w:t xml:space="preserve">) была принята Ассамблеей МОК в Резолюции МОК XXII-6 в 2003 году, а затем была слегка обновлена в 2019 году. </w:t>
            </w:r>
          </w:p>
          <w:p w14:paraId="327F7522" w14:textId="091EAB12" w:rsidR="004C05A6" w:rsidRPr="00214D0A" w:rsidRDefault="00467E3F">
            <w:pPr>
              <w:pStyle w:val="Marge"/>
              <w:spacing w:after="120"/>
              <w:ind w:left="-34" w:firstLine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Цель документа</w:t>
            </w:r>
            <w:r>
              <w:rPr>
                <w:rFonts w:cs="Arial"/>
                <w:szCs w:val="22"/>
                <w:lang w:val="ru"/>
              </w:rPr>
              <w:t xml:space="preserve">: В настоящем документе описываются обстоятельства, повлекшие за собой предложение о создании межсессионной рабочей группы МОК по пересмотру политики МОК в области обмена океанографическими данными (2003 г., 2019 г.). </w:t>
            </w:r>
          </w:p>
          <w:p w14:paraId="668C46D5" w14:textId="75A56040" w:rsidR="00467E3F" w:rsidRPr="00214D0A" w:rsidRDefault="00467E3F">
            <w:pPr>
              <w:pStyle w:val="Marge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Финансовые и административные последствия:</w:t>
            </w:r>
            <w:r>
              <w:rPr>
                <w:rFonts w:cs="Arial"/>
                <w:szCs w:val="22"/>
                <w:lang w:val="ru"/>
              </w:rPr>
              <w:t xml:space="preserve"> Финансовые и административные последствия отсутствуют</w:t>
            </w:r>
          </w:p>
          <w:p w14:paraId="194D0DA7" w14:textId="5831AC72" w:rsidR="00737A18" w:rsidRPr="00467E3F" w:rsidRDefault="00413F17">
            <w:pPr>
              <w:pStyle w:val="Marge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Предлагаемое решение</w:t>
            </w:r>
            <w:r>
              <w:rPr>
                <w:rFonts w:cs="Arial"/>
                <w:szCs w:val="22"/>
                <w:lang w:val="ru"/>
              </w:rPr>
              <w:t>, представленное под номером Реш.IOC-31/3.4.2</w:t>
            </w:r>
            <w:r>
              <w:rPr>
                <w:rFonts w:cs="Arial"/>
                <w:lang w:val="ru"/>
              </w:rPr>
              <w:t>(III)</w:t>
            </w:r>
            <w:r>
              <w:rPr>
                <w:rFonts w:cs="Arial"/>
                <w:szCs w:val="22"/>
                <w:lang w:val="ru"/>
              </w:rPr>
              <w:t xml:space="preserve"> в Пересмотренном документе о принятых и предлагаемых мерах (документ IOC-31/AP Rev.), содержит предлагаемый круг ведения Межсессионной рабочей группы. В решении также предлагается представить пересмотренную политику МОК в области обмена океанографическими данными Ассамблее МОК на ее 32-й сессии в 2023 году.</w:t>
            </w:r>
          </w:p>
        </w:tc>
      </w:tr>
      <w:tr w:rsidR="00DC723A" w:rsidRPr="006842FA" w14:paraId="63C4CF87" w14:textId="77777777" w:rsidTr="008322C3">
        <w:trPr>
          <w:jc w:val="center"/>
        </w:trPr>
        <w:tc>
          <w:tcPr>
            <w:tcW w:w="7654" w:type="dxa"/>
            <w:tcBorders>
              <w:left w:val="nil"/>
              <w:bottom w:val="nil"/>
              <w:right w:val="nil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13B1C98" w14:textId="1897FB99" w:rsidR="00DC723A" w:rsidRPr="006842FA" w:rsidRDefault="00DC723A" w:rsidP="008322C3">
            <w:pPr>
              <w:pStyle w:val="Marge"/>
              <w:rPr>
                <w:rFonts w:cs="Arial"/>
                <w:szCs w:val="22"/>
                <w:u w:val="single"/>
              </w:rPr>
            </w:pPr>
          </w:p>
        </w:tc>
      </w:tr>
    </w:tbl>
    <w:p w14:paraId="05D134BA" w14:textId="6DE02A9F" w:rsidR="00214D0A" w:rsidRDefault="00214D0A" w:rsidP="008322C3"/>
    <w:p w14:paraId="4BD00D6C" w14:textId="77777777" w:rsidR="00214D0A" w:rsidRDefault="00214D0A">
      <w:pPr>
        <w:tabs>
          <w:tab w:val="clear" w:pos="567"/>
        </w:tabs>
        <w:snapToGrid/>
        <w:rPr>
          <w:rFonts w:eastAsia="Arial Unicode MS"/>
          <w:szCs w:val="22"/>
        </w:rPr>
      </w:pPr>
      <w:r>
        <w:rPr>
          <w:lang w:val="ru"/>
        </w:rPr>
        <w:br w:type="page"/>
      </w:r>
    </w:p>
    <w:p w14:paraId="27636445" w14:textId="7E0E5B21" w:rsidR="004C05A6" w:rsidRDefault="001C08A0" w:rsidP="008322C3">
      <w:pPr>
        <w:pStyle w:val="COI"/>
        <w:spacing w:after="120"/>
      </w:pPr>
      <w:r>
        <w:rPr>
          <w:lang w:val="ru"/>
        </w:rPr>
        <w:lastRenderedPageBreak/>
        <w:t>На своем недавнем заседании в 2021 году Группа по управлению программой международного обмена океанографическими данными и информацией (МООД) приняла следующие решения по этому вопросу:</w:t>
      </w:r>
    </w:p>
    <w:p w14:paraId="2B0A7552" w14:textId="491C92F7" w:rsidR="004C05A6" w:rsidRDefault="001C08A0" w:rsidP="008322C3">
      <w:pPr>
        <w:pStyle w:val="ListParagraph"/>
        <w:numPr>
          <w:ilvl w:val="0"/>
          <w:numId w:val="9"/>
        </w:numPr>
        <w:snapToGrid w:val="0"/>
        <w:spacing w:after="120" w:line="240" w:lineRule="auto"/>
        <w:contextualSpacing w:val="0"/>
      </w:pPr>
      <w:r>
        <w:rPr>
          <w:lang w:val="ru"/>
        </w:rPr>
        <w:t>Группа попросила Комитет МООД на его 26-й сессии (апрель 2021 г.) рекомендовать Ассамблее МОК создать рабочую группу по пересмотру политики МОК в области данных, в которую вошли бы представители государств-членов и партнерских организаций;</w:t>
      </w:r>
    </w:p>
    <w:p w14:paraId="4B43A4DA" w14:textId="00FEA056" w:rsidR="004C05A6" w:rsidRDefault="004C05A6" w:rsidP="008322C3">
      <w:pPr>
        <w:pStyle w:val="ListParagraph"/>
        <w:numPr>
          <w:ilvl w:val="0"/>
          <w:numId w:val="9"/>
        </w:numPr>
        <w:spacing w:after="200" w:line="240" w:lineRule="auto"/>
      </w:pPr>
      <w:r>
        <w:rPr>
          <w:lang w:val="ru"/>
        </w:rPr>
        <w:t>Группа приняла решение о необходимости создания предкомитетской рабочей группы для подготовки проекта круга ведения рабочей группы по политике в области данных и представления проекта материалов для соответствующего проекта решения, которое будет обсуждаться на МООД-XXVI.</w:t>
      </w:r>
    </w:p>
    <w:p w14:paraId="226DE9F5" w14:textId="1ECACF10" w:rsidR="004C05A6" w:rsidRDefault="004C05A6">
      <w:pPr>
        <w:pStyle w:val="COI"/>
      </w:pPr>
      <w:r>
        <w:rPr>
          <w:lang w:val="ru"/>
        </w:rPr>
        <w:t xml:space="preserve">С составом предкомитетской рабочей группы можно ознакомиться на веб-сайте </w:t>
      </w:r>
      <w:hyperlink r:id="rId9">
        <w:r>
          <w:rPr>
            <w:color w:val="1155CC"/>
            <w:u w:val="single"/>
            <w:lang w:val="ru"/>
          </w:rPr>
          <w:t>http://www.iode.org/iode26</w:t>
        </w:r>
      </w:hyperlink>
      <w:r>
        <w:rPr>
          <w:lang w:val="ru"/>
        </w:rPr>
        <w:t>. На заседании 17 февраля 2021 года было достигнуто согласие в том, что существует достаточное количество причин для пересмотра политики МОК в области данных. Результатом должна стать новая амбициозная политика МОК в области данных, которая будет способствовать и поддерживать свободный и открытый обмен данными в рамках деятельности и программ МОК. Тем не менее, Группа выразила обеспокоенность по поводу необходимости тщательного рассмотрения того, что нужно изменить, принимая во внимание количество усилий, приложенных к достижению консенсуса по текущей политике, особенно в отношении признания прав стран и необязательного характера политики. Были высказаны предложения опираться на другие модели, такие как политика ВМО в отношении данных, состоящая из основной политики с ключевыми принципами и модульных расширений, касающихся конкретных типов данных или приложений и продуктов. Таким образом, в случае необходимости можно будет легко расширить рамки политики без дебатов по ключевым моментам.</w:t>
      </w:r>
    </w:p>
    <w:p w14:paraId="6DB52B5A" w14:textId="538EEF4C" w:rsidR="004C05A6" w:rsidRDefault="004C05A6" w:rsidP="004C05A6">
      <w:pPr>
        <w:pStyle w:val="COI"/>
      </w:pPr>
      <w:r>
        <w:rPr>
          <w:lang w:val="ru"/>
        </w:rPr>
        <w:t>Группа также посчитала, что необходимо создать долгосрочную межведомственную группу, которая будет периодически собираться для обеспечения согласованности политики и масштабов коллективных изменений. Конечной целью является наращивание глобального сотрудничества, улучшение обмена и использования данных. Поэтому важно, чтобы политика в отношении данных не препятствовала, а упрощала эту работу в рамках общепринятых условий (например, использование лицензии Creative Commons). Поэтому политика МОК в области данных, разработанная 20 лет назад, будет пересмотрена для обеспечения лучшей согласованности с политикой в области данных на национальном, региональном и международном уровнях, а также с политикой других секторов, и должна отражать современные международные принципы, которых еще не существовало в 2003 году.</w:t>
      </w:r>
    </w:p>
    <w:p w14:paraId="7395841D" w14:textId="066AC3C8" w:rsidR="004C05A6" w:rsidRPr="00CF3C1A" w:rsidRDefault="00CB1626" w:rsidP="00CF3C1A">
      <w:pPr>
        <w:pStyle w:val="COI"/>
        <w:rPr>
          <w:u w:val="single"/>
        </w:rPr>
      </w:pPr>
      <w:r>
        <w:rPr>
          <w:lang w:val="ru"/>
        </w:rPr>
        <w:t xml:space="preserve">На своей 26-й сессии Комитет МООД согласился с предложением, сформулированным предкомитетской рабочей группой, и принял </w:t>
      </w:r>
      <w:hyperlink r:id="rId10" w:anchor="R64" w:history="1">
        <w:r>
          <w:rPr>
            <w:rStyle w:val="Hyperlink"/>
            <w:lang w:val="ru"/>
          </w:rPr>
          <w:t>Рекомендацию IODE-XXVI.6.4: Пересмотр политики МОК в области обмена океанографическими данными (2003 г., 2019 г.)</w:t>
        </w:r>
      </w:hyperlink>
      <w:r>
        <w:rPr>
          <w:lang w:val="ru"/>
        </w:rPr>
        <w:t>.</w:t>
      </w:r>
    </w:p>
    <w:p w14:paraId="5FF2B279" w14:textId="7D1E3820" w:rsidR="004C05A6" w:rsidRDefault="00CB1626" w:rsidP="008322C3">
      <w:pPr>
        <w:pStyle w:val="COI"/>
      </w:pPr>
      <w:r>
        <w:rPr>
          <w:lang w:val="ru"/>
        </w:rPr>
        <w:t xml:space="preserve">Комитет МООД (см. доклад IOC/IODE-XXVI/3s) также отметил, что предложенная межсессионная рабочая группа могла бы делиться опытом и осуществлять консультирование в рамках Десятилетия ООН, посвященного науке об океане. Тем не менее, Группа не сочла, что предложение политики в области данных для Десятилетия науки об океане входит в ее полномочия, главным образом, из-за широкого спектра типов данных, используемых в рамках Десятилетия (например, социально-экономические данные), и разнообразия партнеров Десятилетия и их участия, которые выходят далеко за рамки программ МОК. </w:t>
      </w:r>
    </w:p>
    <w:sectPr w:rsidR="004C05A6" w:rsidSect="003F7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E2549" w14:textId="77777777" w:rsidR="00E94375" w:rsidRDefault="00E94375">
      <w:r>
        <w:separator/>
      </w:r>
    </w:p>
  </w:endnote>
  <w:endnote w:type="continuationSeparator" w:id="0">
    <w:p w14:paraId="0E696770" w14:textId="77777777" w:rsidR="00E94375" w:rsidRDefault="00E9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BDE66" w14:textId="77777777" w:rsidR="00D628E2" w:rsidRDefault="00D62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6A15E" w14:textId="77777777" w:rsidR="00D628E2" w:rsidRDefault="00D62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F8CCC" w14:textId="77777777" w:rsidR="00D628E2" w:rsidRDefault="00D62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EF80C" w14:textId="77777777" w:rsidR="00E94375" w:rsidRDefault="00E94375">
      <w:r>
        <w:separator/>
      </w:r>
    </w:p>
  </w:footnote>
  <w:footnote w:type="continuationSeparator" w:id="0">
    <w:p w14:paraId="692293FE" w14:textId="77777777" w:rsidR="00E94375" w:rsidRDefault="00E9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6EF83" w14:textId="63B06400" w:rsidR="004C05A6" w:rsidRDefault="004C05A6" w:rsidP="00746B89">
    <w:pPr>
      <w:pStyle w:val="Header"/>
      <w:tabs>
        <w:tab w:val="clear" w:pos="8306"/>
      </w:tabs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</w:t>
    </w:r>
    <w:r w:rsidR="00D628E2">
      <w:rPr>
        <w:rFonts w:cs="Arial"/>
        <w:sz w:val="20"/>
        <w:szCs w:val="20"/>
        <w:lang w:val="es-ES"/>
      </w:rPr>
      <w:t>/A</w:t>
    </w:r>
    <w:r>
      <w:rPr>
        <w:rFonts w:cs="Arial"/>
        <w:sz w:val="20"/>
        <w:szCs w:val="20"/>
        <w:lang w:val="ru"/>
      </w:rPr>
      <w:t>-31/3.4.2.Doc(2)</w:t>
    </w:r>
  </w:p>
  <w:p w14:paraId="12F9B256" w14:textId="3EAECEF9" w:rsidR="00020AA1" w:rsidRPr="006842FA" w:rsidRDefault="00003B31" w:rsidP="00746B89">
    <w:pPr>
      <w:pStyle w:val="Header"/>
      <w:tabs>
        <w:tab w:val="clear" w:pos="8306"/>
      </w:tabs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страница </w:t>
    </w:r>
    <w:r>
      <w:rPr>
        <w:rStyle w:val="PageNumber"/>
        <w:rFonts w:cs="Arial"/>
        <w:sz w:val="20"/>
        <w:szCs w:val="20"/>
        <w:lang w:val="ru"/>
      </w:rPr>
      <w:fldChar w:fldCharType="begin"/>
    </w:r>
    <w:r>
      <w:rPr>
        <w:rStyle w:val="PageNumber"/>
        <w:rFonts w:cs="Arial"/>
        <w:sz w:val="20"/>
        <w:szCs w:val="20"/>
        <w:lang w:val="ru"/>
      </w:rPr>
      <w:instrText xml:space="preserve"> PAGE </w:instrText>
    </w:r>
    <w:r>
      <w:rPr>
        <w:rStyle w:val="PageNumber"/>
        <w:rFonts w:cs="Arial"/>
        <w:sz w:val="20"/>
        <w:szCs w:val="20"/>
        <w:lang w:val="ru"/>
      </w:rPr>
      <w:fldChar w:fldCharType="separate"/>
    </w:r>
    <w:r>
      <w:rPr>
        <w:rStyle w:val="PageNumber"/>
        <w:rFonts w:cs="Arial"/>
        <w:noProof/>
        <w:sz w:val="20"/>
        <w:szCs w:val="20"/>
        <w:lang w:val="ru"/>
      </w:rPr>
      <w:t>2</w:t>
    </w:r>
    <w:r>
      <w:rPr>
        <w:rStyle w:val="PageNumber"/>
        <w:rFonts w:cs="Arial"/>
        <w:sz w:val="20"/>
        <w:szCs w:val="20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5D70D" w14:textId="47E7C64C" w:rsidR="00020AA1" w:rsidRPr="00FC2521" w:rsidRDefault="004C05A6" w:rsidP="005742D0">
    <w:pPr>
      <w:pStyle w:val="Header"/>
      <w:tabs>
        <w:tab w:val="clear" w:pos="8306"/>
      </w:tabs>
      <w:ind w:left="7655"/>
      <w:rPr>
        <w:rFonts w:cs="Arial"/>
        <w:sz w:val="20"/>
        <w:szCs w:val="22"/>
      </w:rPr>
    </w:pPr>
    <w:r>
      <w:rPr>
        <w:rFonts w:cs="Arial"/>
        <w:sz w:val="20"/>
        <w:szCs w:val="20"/>
        <w:lang w:val="ru"/>
      </w:rPr>
      <w:t>IOC-31/3.4.2.Doc(2)</w:t>
    </w:r>
    <w:r>
      <w:rPr>
        <w:rFonts w:cs="Arial"/>
        <w:sz w:val="20"/>
        <w:szCs w:val="20"/>
        <w:lang w:val="ru"/>
      </w:rPr>
      <w:br/>
    </w:r>
    <w:r>
      <w:rPr>
        <w:rFonts w:cs="Arial"/>
        <w:sz w:val="20"/>
        <w:szCs w:val="22"/>
        <w:lang w:val="ru"/>
      </w:rPr>
      <w:t xml:space="preserve">страница </w:t>
    </w:r>
    <w:r>
      <w:rPr>
        <w:rStyle w:val="PageNumber"/>
        <w:rFonts w:cs="Arial"/>
        <w:sz w:val="20"/>
        <w:szCs w:val="22"/>
        <w:lang w:val="ru"/>
      </w:rPr>
      <w:fldChar w:fldCharType="begin"/>
    </w:r>
    <w:r>
      <w:rPr>
        <w:rStyle w:val="PageNumber"/>
        <w:rFonts w:cs="Arial"/>
        <w:sz w:val="20"/>
        <w:szCs w:val="22"/>
        <w:lang w:val="ru"/>
      </w:rPr>
      <w:instrText xml:space="preserve"> PAGE </w:instrText>
    </w:r>
    <w:r>
      <w:rPr>
        <w:rStyle w:val="PageNumber"/>
        <w:rFonts w:cs="Arial"/>
        <w:sz w:val="20"/>
        <w:szCs w:val="22"/>
        <w:lang w:val="ru"/>
      </w:rPr>
      <w:fldChar w:fldCharType="separate"/>
    </w:r>
    <w:r>
      <w:rPr>
        <w:rStyle w:val="PageNumber"/>
        <w:rFonts w:cs="Arial"/>
        <w:noProof/>
        <w:sz w:val="20"/>
        <w:szCs w:val="22"/>
        <w:lang w:val="ru"/>
      </w:rPr>
      <w:t>3</w:t>
    </w:r>
    <w:r>
      <w:rPr>
        <w:rStyle w:val="PageNumber"/>
        <w:rFonts w:cs="Arial"/>
        <w:sz w:val="20"/>
        <w:szCs w:val="22"/>
        <w:lang w:val="ru"/>
      </w:rPr>
      <w:fldChar w:fldCharType="end"/>
    </w:r>
  </w:p>
  <w:p w14:paraId="54F7ED68" w14:textId="77777777" w:rsidR="00020AA1" w:rsidRPr="00FC2521" w:rsidRDefault="00020AA1" w:rsidP="005742D0">
    <w:pPr>
      <w:pStyle w:val="Header"/>
      <w:ind w:left="7655"/>
      <w:rPr>
        <w:rFonts w:cs="Arial"/>
        <w:sz w:val="2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5C9D3" w14:textId="6217AC3D" w:rsidR="00DC723A" w:rsidRDefault="008322C3" w:rsidP="00D628E2">
    <w:pPr>
      <w:pStyle w:val="Marge"/>
      <w:tabs>
        <w:tab w:val="left" w:pos="5954"/>
      </w:tabs>
      <w:spacing w:after="0"/>
      <w:rPr>
        <w:rFonts w:cs="Arial"/>
        <w:b/>
        <w:szCs w:val="22"/>
      </w:rPr>
    </w:pPr>
    <w:r>
      <w:rPr>
        <w:rFonts w:cs="Arial"/>
        <w:szCs w:val="22"/>
        <w:lang w:val="ru"/>
      </w:rPr>
      <w:t>Рассылается по списку</w:t>
    </w:r>
    <w:r>
      <w:rPr>
        <w:rFonts w:cs="Arial"/>
        <w:szCs w:val="22"/>
        <w:lang w:val="ru"/>
      </w:rPr>
      <w:tab/>
    </w:r>
    <w:r>
      <w:rPr>
        <w:rFonts w:cs="Arial"/>
        <w:b/>
        <w:bCs/>
        <w:sz w:val="36"/>
        <w:szCs w:val="36"/>
        <w:lang w:val="ru"/>
      </w:rPr>
      <w:t>IOC</w:t>
    </w:r>
    <w:r w:rsidR="00D628E2">
      <w:rPr>
        <w:rFonts w:cs="Arial"/>
        <w:b/>
        <w:bCs/>
        <w:sz w:val="36"/>
        <w:szCs w:val="36"/>
        <w:lang w:val="es-ES"/>
      </w:rPr>
      <w:t>/A</w:t>
    </w:r>
    <w:r>
      <w:rPr>
        <w:rFonts w:cs="Arial"/>
        <w:b/>
        <w:bCs/>
        <w:sz w:val="36"/>
        <w:szCs w:val="36"/>
        <w:lang w:val="ru"/>
      </w:rPr>
      <w:t>-31/</w:t>
    </w:r>
    <w:r>
      <w:rPr>
        <w:rFonts w:cs="Arial"/>
        <w:b/>
        <w:bCs/>
        <w:color w:val="000000" w:themeColor="text1"/>
        <w:sz w:val="36"/>
        <w:szCs w:val="36"/>
        <w:lang w:val="ru"/>
      </w:rPr>
      <w:t>3.4.</w:t>
    </w:r>
    <w:proofErr w:type="gramStart"/>
    <w:r>
      <w:rPr>
        <w:rFonts w:cs="Arial"/>
        <w:b/>
        <w:bCs/>
        <w:color w:val="000000" w:themeColor="text1"/>
        <w:sz w:val="36"/>
        <w:szCs w:val="36"/>
        <w:lang w:val="ru"/>
      </w:rPr>
      <w:t>2</w:t>
    </w:r>
    <w:r>
      <w:rPr>
        <w:rFonts w:cs="Arial"/>
        <w:b/>
        <w:bCs/>
        <w:i/>
        <w:iCs/>
        <w:sz w:val="36"/>
        <w:szCs w:val="36"/>
        <w:lang w:val="ru"/>
      </w:rPr>
      <w:t>.</w:t>
    </w:r>
    <w:r>
      <w:rPr>
        <w:rFonts w:cs="Arial"/>
        <w:b/>
        <w:bCs/>
        <w:sz w:val="36"/>
        <w:szCs w:val="36"/>
        <w:lang w:val="ru"/>
      </w:rPr>
      <w:t>Doc</w:t>
    </w:r>
    <w:proofErr w:type="gramEnd"/>
    <w:r>
      <w:rPr>
        <w:rFonts w:cs="Arial"/>
        <w:b/>
        <w:bCs/>
        <w:sz w:val="36"/>
        <w:szCs w:val="36"/>
        <w:lang w:val="ru"/>
      </w:rPr>
      <w:t>(2)</w:t>
    </w:r>
  </w:p>
  <w:p w14:paraId="582C9072" w14:textId="77777777" w:rsidR="00DC723A" w:rsidRPr="005E544C" w:rsidRDefault="00DC723A" w:rsidP="00D628E2">
    <w:pPr>
      <w:tabs>
        <w:tab w:val="clear" w:pos="567"/>
        <w:tab w:val="left" w:pos="5954"/>
      </w:tabs>
      <w:jc w:val="both"/>
      <w:rPr>
        <w:rFonts w:cs="Arial"/>
        <w:szCs w:val="22"/>
      </w:rPr>
    </w:pPr>
    <w:r>
      <w:rPr>
        <w:rFonts w:cs="Arial"/>
        <w:szCs w:val="22"/>
        <w:lang w:val="ru"/>
      </w:rPr>
      <w:tab/>
      <w:t>Париж, 26 апреля 2021 г.</w:t>
    </w:r>
  </w:p>
  <w:p w14:paraId="40AE5BBA" w14:textId="77777777" w:rsidR="00DC723A" w:rsidRPr="005E544C" w:rsidRDefault="00DC723A" w:rsidP="00D628E2">
    <w:pPr>
      <w:tabs>
        <w:tab w:val="clear" w:pos="567"/>
        <w:tab w:val="left" w:pos="5954"/>
      </w:tabs>
      <w:jc w:val="both"/>
      <w:rPr>
        <w:rFonts w:cs="Arial"/>
        <w:szCs w:val="22"/>
      </w:rPr>
    </w:pPr>
    <w:r>
      <w:rPr>
        <w:rFonts w:cs="Arial"/>
        <w:szCs w:val="22"/>
        <w:lang w:val="ru"/>
      </w:rPr>
      <w:tab/>
      <w:t>Язык оригинала: английский</w:t>
    </w:r>
  </w:p>
  <w:p w14:paraId="7C01C123" w14:textId="77777777" w:rsidR="00DC723A" w:rsidRPr="005E544C" w:rsidRDefault="00DC723A" w:rsidP="00DC723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523"/>
        <w:tab w:val="left" w:pos="576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6A5B625C" w14:textId="77777777" w:rsidR="00DC723A" w:rsidRPr="005E544C" w:rsidRDefault="00DC723A" w:rsidP="00DC723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</w:rPr>
    </w:pPr>
  </w:p>
  <w:p w14:paraId="4ED94CFF" w14:textId="77777777" w:rsidR="00DC723A" w:rsidRPr="005742D0" w:rsidRDefault="00DC723A" w:rsidP="00DC723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rFonts w:cs="Arial"/>
        <w:noProof/>
        <w:snapToGrid/>
        <w:sz w:val="24"/>
        <w:lang w:val="ru"/>
      </w:rPr>
      <w:drawing>
        <wp:anchor distT="0" distB="0" distL="114300" distR="114300" simplePos="0" relativeHeight="251668480" behindDoc="1" locked="0" layoutInCell="1" allowOverlap="1" wp14:anchorId="08805F97" wp14:editId="3FDFE0ED">
          <wp:simplePos x="0" y="0"/>
          <wp:positionH relativeFrom="column">
            <wp:posOffset>-142240</wp:posOffset>
          </wp:positionH>
          <wp:positionV relativeFrom="paragraph">
            <wp:posOffset>1270</wp:posOffset>
          </wp:positionV>
          <wp:extent cx="1714500" cy="881380"/>
          <wp:effectExtent l="0" t="0" r="0" b="0"/>
          <wp:wrapSquare wrapText="bothSides"/>
          <wp:docPr id="1" name="Image 9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4"/>
        <w:lang w:val="ru"/>
      </w:rPr>
      <w:t>МЕЖПРАВИТЕЛЬСТВЕННАЯ ОКЕАНОГРАФИЧЕСКАЯ КОМИССИЯ</w:t>
    </w:r>
  </w:p>
  <w:p w14:paraId="016BA9DB" w14:textId="77777777" w:rsidR="00DC723A" w:rsidRPr="005742D0" w:rsidRDefault="00DC723A" w:rsidP="00DC723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sz w:val="24"/>
      </w:rPr>
    </w:pPr>
    <w:r>
      <w:rPr>
        <w:rFonts w:cs="Arial"/>
        <w:sz w:val="24"/>
        <w:lang w:val="ru"/>
      </w:rPr>
      <w:t>(ЮНЕСКО)</w:t>
    </w:r>
  </w:p>
  <w:p w14:paraId="1A5FFA85" w14:textId="77777777" w:rsidR="00DC723A" w:rsidRPr="005742D0" w:rsidRDefault="00DC723A" w:rsidP="00DC723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</w:p>
  <w:p w14:paraId="6F1A907D" w14:textId="77777777" w:rsidR="00DC723A" w:rsidRPr="005742D0" w:rsidRDefault="00DC723A" w:rsidP="00DC723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rFonts w:cs="Arial"/>
        <w:b/>
        <w:bCs/>
        <w:sz w:val="24"/>
        <w:lang w:val="ru"/>
      </w:rPr>
      <w:t>Тридцать первая сессия Ассамблеи</w:t>
    </w:r>
  </w:p>
  <w:p w14:paraId="6925FE63" w14:textId="2EB4A5F6" w:rsidR="00DC723A" w:rsidRPr="005742D0" w:rsidRDefault="00DC723A" w:rsidP="00DC723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sz w:val="24"/>
      </w:rPr>
    </w:pPr>
    <w:r>
      <w:rPr>
        <w:rFonts w:cs="Arial"/>
        <w:sz w:val="24"/>
        <w:lang w:val="ru"/>
      </w:rPr>
      <w:t>ЮНЕСКО, 14–25 июня 2021 года (в режиме онлайн)</w:t>
    </w:r>
  </w:p>
  <w:p w14:paraId="719CFEA5" w14:textId="77777777" w:rsidR="00DC723A" w:rsidRPr="005E544C" w:rsidRDefault="00DC723A" w:rsidP="00DC723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2EE1E240" w14:textId="77777777" w:rsidR="00DC723A" w:rsidRPr="005E544C" w:rsidRDefault="00DC723A" w:rsidP="00DC723A">
    <w:pPr>
      <w:jc w:val="center"/>
      <w:rPr>
        <w:rFonts w:cs="Arial"/>
        <w:szCs w:val="22"/>
      </w:rPr>
    </w:pPr>
  </w:p>
  <w:p w14:paraId="2AB170B7" w14:textId="77777777" w:rsidR="00DC723A" w:rsidRDefault="00DC723A" w:rsidP="00DC723A">
    <w:pPr>
      <w:jc w:val="center"/>
      <w:rPr>
        <w:rFonts w:cs="Arial"/>
        <w:szCs w:val="22"/>
      </w:rPr>
    </w:pPr>
  </w:p>
  <w:p w14:paraId="743DF08C" w14:textId="77777777" w:rsidR="00DC723A" w:rsidRDefault="00DC723A" w:rsidP="00DC723A">
    <w:pPr>
      <w:jc w:val="center"/>
      <w:rPr>
        <w:rFonts w:cs="Arial"/>
        <w:szCs w:val="22"/>
      </w:rPr>
    </w:pPr>
  </w:p>
  <w:p w14:paraId="0742236C" w14:textId="77777777" w:rsidR="00DC723A" w:rsidRDefault="00DC723A" w:rsidP="00DC723A">
    <w:pPr>
      <w:jc w:val="center"/>
      <w:rPr>
        <w:rFonts w:cs="Arial"/>
        <w:szCs w:val="22"/>
      </w:rPr>
    </w:pPr>
  </w:p>
  <w:p w14:paraId="0F55A3C1" w14:textId="77777777" w:rsidR="00DC723A" w:rsidRPr="005E544C" w:rsidRDefault="00DC723A" w:rsidP="00DC723A">
    <w:pPr>
      <w:jc w:val="center"/>
      <w:rPr>
        <w:rFonts w:cs="Arial"/>
        <w:szCs w:val="22"/>
      </w:rPr>
    </w:pPr>
  </w:p>
  <w:p w14:paraId="6377DB75" w14:textId="77777777" w:rsidR="00DC723A" w:rsidRPr="005E544C" w:rsidRDefault="00DC723A" w:rsidP="00DC723A">
    <w:pPr>
      <w:jc w:val="center"/>
      <w:rPr>
        <w:rFonts w:cs="Arial"/>
        <w:szCs w:val="22"/>
      </w:rPr>
    </w:pPr>
  </w:p>
  <w:p w14:paraId="082B0820" w14:textId="77777777" w:rsidR="00DC723A" w:rsidRPr="008D2398" w:rsidRDefault="00DC723A" w:rsidP="00DC723A">
    <w:pPr>
      <w:pStyle w:val="Heading7"/>
      <w:tabs>
        <w:tab w:val="right" w:pos="9540"/>
      </w:tabs>
      <w:rPr>
        <w:rFonts w:cs="Arial"/>
        <w:sz w:val="24"/>
        <w:u w:val="none"/>
      </w:rPr>
    </w:pPr>
    <w:r>
      <w:rPr>
        <w:rFonts w:cs="Arial"/>
        <w:sz w:val="24"/>
        <w:lang w:val="ru"/>
      </w:rPr>
      <w:t xml:space="preserve">Пункт </w:t>
    </w:r>
    <w:r>
      <w:rPr>
        <w:rFonts w:cs="Arial"/>
        <w:b/>
        <w:bCs/>
        <w:sz w:val="24"/>
        <w:lang w:val="ru"/>
      </w:rPr>
      <w:t>3.4.2</w:t>
    </w:r>
    <w:r>
      <w:rPr>
        <w:rFonts w:cs="Arial"/>
        <w:sz w:val="24"/>
        <w:lang w:val="ru"/>
      </w:rPr>
      <w:t xml:space="preserve"> предварительной повестки дня</w:t>
    </w:r>
  </w:p>
  <w:p w14:paraId="75E36753" w14:textId="77777777" w:rsidR="00DC723A" w:rsidRPr="005E544C" w:rsidRDefault="00DC723A" w:rsidP="00DC723A">
    <w:pPr>
      <w:rPr>
        <w:rFonts w:cs="Arial"/>
        <w:szCs w:val="22"/>
      </w:rPr>
    </w:pPr>
  </w:p>
  <w:p w14:paraId="2FFFC1BB" w14:textId="77777777" w:rsidR="00DC723A" w:rsidRPr="005E544C" w:rsidRDefault="00DC723A" w:rsidP="00DC723A">
    <w:pPr>
      <w:rPr>
        <w:rFonts w:cs="Arial"/>
        <w:szCs w:val="22"/>
      </w:rPr>
    </w:pPr>
  </w:p>
  <w:p w14:paraId="01B7F00A" w14:textId="77777777" w:rsidR="00DC723A" w:rsidRPr="005E544C" w:rsidRDefault="00DC723A" w:rsidP="00DC723A">
    <w:pPr>
      <w:pStyle w:val="Header"/>
      <w:jc w:val="center"/>
      <w:rPr>
        <w:rFonts w:cs="Arial"/>
        <w:szCs w:val="22"/>
      </w:rPr>
    </w:pPr>
    <w:r>
      <w:rPr>
        <w:rFonts w:cs="Arial"/>
        <w:b/>
        <w:bCs/>
        <w:caps/>
        <w:sz w:val="24"/>
        <w:lang w:val="ru"/>
      </w:rPr>
      <w:t>Предлагаемые меры по пересмотру политики МОК в области обмена океанографическими данными</w:t>
    </w:r>
  </w:p>
  <w:p w14:paraId="4052F069" w14:textId="755A1A87" w:rsidR="00020AA1" w:rsidRPr="004C05A6" w:rsidRDefault="00020AA1" w:rsidP="004C05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3B01450"/>
    <w:multiLevelType w:val="hybridMultilevel"/>
    <w:tmpl w:val="F51CB402"/>
    <w:lvl w:ilvl="0" w:tplc="0F8AA590">
      <w:start w:val="1"/>
      <w:numFmt w:val="lowerRoman"/>
      <w:lvlText w:val="(%1) 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9C157BC"/>
    <w:multiLevelType w:val="multilevel"/>
    <w:tmpl w:val="1F44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04C64"/>
    <w:multiLevelType w:val="hybridMultilevel"/>
    <w:tmpl w:val="9C3EA0F0"/>
    <w:lvl w:ilvl="0" w:tplc="C9FA0D30">
      <w:start w:val="1"/>
      <w:numFmt w:val="decimal"/>
      <w:pStyle w:val="COI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70DA7"/>
    <w:multiLevelType w:val="hybridMultilevel"/>
    <w:tmpl w:val="4406109E"/>
    <w:lvl w:ilvl="0" w:tplc="8B48D160">
      <w:start w:val="1"/>
      <w:numFmt w:val="decimal"/>
      <w:pStyle w:val="paranumbered"/>
      <w:lvlText w:val="%1"/>
      <w:lvlJc w:val="left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12C41A6">
      <w:start w:val="1"/>
      <w:numFmt w:val="lowerRoman"/>
      <w:lvlText w:val="(%3)"/>
      <w:lvlJc w:val="left"/>
      <w:pPr>
        <w:ind w:left="2840" w:hanging="8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A6"/>
    <w:rsid w:val="00003B31"/>
    <w:rsid w:val="00010BBB"/>
    <w:rsid w:val="00020AA1"/>
    <w:rsid w:val="00085D6A"/>
    <w:rsid w:val="000F0254"/>
    <w:rsid w:val="00123719"/>
    <w:rsid w:val="001241D7"/>
    <w:rsid w:val="00137E97"/>
    <w:rsid w:val="001448C4"/>
    <w:rsid w:val="00155393"/>
    <w:rsid w:val="00167158"/>
    <w:rsid w:val="00196052"/>
    <w:rsid w:val="001B3B24"/>
    <w:rsid w:val="001C08A0"/>
    <w:rsid w:val="001C6455"/>
    <w:rsid w:val="001E7ED9"/>
    <w:rsid w:val="0021210D"/>
    <w:rsid w:val="00214D0A"/>
    <w:rsid w:val="00294AD5"/>
    <w:rsid w:val="00294D39"/>
    <w:rsid w:val="002C7DE3"/>
    <w:rsid w:val="002E0859"/>
    <w:rsid w:val="002F6ED4"/>
    <w:rsid w:val="0034156B"/>
    <w:rsid w:val="00355412"/>
    <w:rsid w:val="003561BE"/>
    <w:rsid w:val="003805F5"/>
    <w:rsid w:val="003A7860"/>
    <w:rsid w:val="003D3711"/>
    <w:rsid w:val="003F55CF"/>
    <w:rsid w:val="003F7186"/>
    <w:rsid w:val="004031FB"/>
    <w:rsid w:val="00413F17"/>
    <w:rsid w:val="00424DE6"/>
    <w:rsid w:val="004529B8"/>
    <w:rsid w:val="00462CD5"/>
    <w:rsid w:val="00467E3F"/>
    <w:rsid w:val="004A135F"/>
    <w:rsid w:val="004C05A6"/>
    <w:rsid w:val="004C1625"/>
    <w:rsid w:val="004F7D6C"/>
    <w:rsid w:val="005742D0"/>
    <w:rsid w:val="005C7A36"/>
    <w:rsid w:val="005C7D76"/>
    <w:rsid w:val="005E544C"/>
    <w:rsid w:val="006110DA"/>
    <w:rsid w:val="00633939"/>
    <w:rsid w:val="00633EA5"/>
    <w:rsid w:val="006441BF"/>
    <w:rsid w:val="006842FA"/>
    <w:rsid w:val="0068682C"/>
    <w:rsid w:val="00690A0C"/>
    <w:rsid w:val="00690FD2"/>
    <w:rsid w:val="00693199"/>
    <w:rsid w:val="006B4B95"/>
    <w:rsid w:val="006C18D9"/>
    <w:rsid w:val="006C6449"/>
    <w:rsid w:val="006F31D1"/>
    <w:rsid w:val="00737A18"/>
    <w:rsid w:val="00746B89"/>
    <w:rsid w:val="0079212B"/>
    <w:rsid w:val="0079405C"/>
    <w:rsid w:val="007A6E4A"/>
    <w:rsid w:val="008048D2"/>
    <w:rsid w:val="0081004E"/>
    <w:rsid w:val="008322C3"/>
    <w:rsid w:val="008338A6"/>
    <w:rsid w:val="00853565"/>
    <w:rsid w:val="008A6E5C"/>
    <w:rsid w:val="008B384B"/>
    <w:rsid w:val="008D2398"/>
    <w:rsid w:val="008F6942"/>
    <w:rsid w:val="009026D3"/>
    <w:rsid w:val="0098236F"/>
    <w:rsid w:val="00993CA4"/>
    <w:rsid w:val="009B63AB"/>
    <w:rsid w:val="009C0A89"/>
    <w:rsid w:val="009C15B1"/>
    <w:rsid w:val="009E6A03"/>
    <w:rsid w:val="009F3A67"/>
    <w:rsid w:val="009F7769"/>
    <w:rsid w:val="00A11697"/>
    <w:rsid w:val="00A17584"/>
    <w:rsid w:val="00A25BC8"/>
    <w:rsid w:val="00AD3D55"/>
    <w:rsid w:val="00B01961"/>
    <w:rsid w:val="00B722DE"/>
    <w:rsid w:val="00B83068"/>
    <w:rsid w:val="00BD6603"/>
    <w:rsid w:val="00BF069C"/>
    <w:rsid w:val="00BF3835"/>
    <w:rsid w:val="00C1002D"/>
    <w:rsid w:val="00C2635E"/>
    <w:rsid w:val="00C3684D"/>
    <w:rsid w:val="00C4032B"/>
    <w:rsid w:val="00C6486C"/>
    <w:rsid w:val="00C648D3"/>
    <w:rsid w:val="00C75B02"/>
    <w:rsid w:val="00C962F0"/>
    <w:rsid w:val="00CB1626"/>
    <w:rsid w:val="00CF3C1A"/>
    <w:rsid w:val="00D013ED"/>
    <w:rsid w:val="00D36BDC"/>
    <w:rsid w:val="00D5049E"/>
    <w:rsid w:val="00D55FEC"/>
    <w:rsid w:val="00D628E2"/>
    <w:rsid w:val="00DC723A"/>
    <w:rsid w:val="00DD0880"/>
    <w:rsid w:val="00DF2FB9"/>
    <w:rsid w:val="00E63DEF"/>
    <w:rsid w:val="00E64936"/>
    <w:rsid w:val="00E94375"/>
    <w:rsid w:val="00EE0542"/>
    <w:rsid w:val="00F463F2"/>
    <w:rsid w:val="00F8186D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B2EA5E"/>
  <w15:docId w15:val="{6CF600B8-DD48-484D-8664-88BCCF74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4C05A6"/>
    <w:pPr>
      <w:numPr>
        <w:numId w:val="2"/>
      </w:numPr>
      <w:tabs>
        <w:tab w:val="clear" w:pos="567"/>
        <w:tab w:val="left" w:pos="709"/>
      </w:tabs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4C05A6"/>
    <w:rPr>
      <w:rFonts w:ascii="Arial" w:eastAsia="Arial Unicode MS" w:hAnsi="Arial"/>
      <w:snapToGrid w:val="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2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05A6"/>
    <w:pPr>
      <w:tabs>
        <w:tab w:val="clear" w:pos="567"/>
      </w:tabs>
      <w:snapToGrid/>
      <w:spacing w:before="120" w:line="276" w:lineRule="auto"/>
      <w:ind w:left="720"/>
      <w:contextualSpacing/>
      <w:jc w:val="both"/>
    </w:pPr>
    <w:rPr>
      <w:rFonts w:eastAsia="Arial" w:cs="Arial"/>
      <w:snapToGrid/>
      <w:szCs w:val="22"/>
      <w:lang w:eastAsia="en-GB"/>
    </w:rPr>
  </w:style>
  <w:style w:type="paragraph" w:customStyle="1" w:styleId="paranumbered">
    <w:name w:val="paranumbered"/>
    <w:basedOn w:val="Normal"/>
    <w:next w:val="Normal"/>
    <w:qFormat/>
    <w:rsid w:val="004C05A6"/>
    <w:pPr>
      <w:numPr>
        <w:numId w:val="8"/>
      </w:numPr>
      <w:tabs>
        <w:tab w:val="clear" w:pos="567"/>
      </w:tabs>
      <w:snapToGrid/>
      <w:spacing w:before="120" w:line="276" w:lineRule="auto"/>
      <w:ind w:hanging="567"/>
      <w:jc w:val="both"/>
    </w:pPr>
    <w:rPr>
      <w:rFonts w:eastAsia="Arial" w:cs="Arial"/>
      <w:snapToGrid/>
      <w:szCs w:val="22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1C0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08A0"/>
    <w:rPr>
      <w:rFonts w:ascii="Segoe UI" w:hAnsi="Segoe UI" w:cs="Segoe UI"/>
      <w:snapToGrid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de.org/polic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ode.org/index.php?option=com_content&amp;view=article&amp;id=651&amp;Itemid=100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ode.org/iode26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4D9A-09E7-4243-94EC-0B84122A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3993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creator>Peter Pissierssens</dc:creator>
  <cp:lastModifiedBy>Pastor Reyes, Ingrid</cp:lastModifiedBy>
  <cp:revision>2</cp:revision>
  <cp:lastPrinted>2002-06-12T09:28:00Z</cp:lastPrinted>
  <dcterms:created xsi:type="dcterms:W3CDTF">2021-05-26T08:22:00Z</dcterms:created>
  <dcterms:modified xsi:type="dcterms:W3CDTF">2021-05-26T08:22:00Z</dcterms:modified>
</cp:coreProperties>
</file>