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095152" w:rsidRPr="006842FA" w14:paraId="6C61CF58" w14:textId="77777777" w:rsidTr="0042338C">
        <w:trPr>
          <w:jc w:val="center"/>
        </w:trPr>
        <w:tc>
          <w:tcPr>
            <w:tcW w:w="7654" w:type="dxa"/>
            <w:tcMar>
              <w:top w:w="170" w:type="dxa"/>
              <w:left w:w="170" w:type="dxa"/>
              <w:bottom w:w="170" w:type="dxa"/>
              <w:right w:w="170" w:type="dxa"/>
            </w:tcMar>
          </w:tcPr>
          <w:p w14:paraId="78A70450" w14:textId="77777777" w:rsidR="00095152" w:rsidRDefault="00095152" w:rsidP="0042338C">
            <w:pPr>
              <w:pStyle w:val="Marge"/>
              <w:jc w:val="center"/>
              <w:rPr>
                <w:rFonts w:cs="Arial"/>
                <w:szCs w:val="22"/>
              </w:rPr>
            </w:pPr>
            <w:r>
              <w:rPr>
                <w:rFonts w:cs="Arial"/>
                <w:szCs w:val="22"/>
                <w:u w:val="single"/>
                <w:lang w:val="es"/>
              </w:rPr>
              <w:t>Resumen</w:t>
            </w:r>
          </w:p>
          <w:p w14:paraId="3A5D6F9F" w14:textId="77777777" w:rsidR="00095152" w:rsidRPr="00467E3F" w:rsidRDefault="00095152" w:rsidP="0042338C">
            <w:pPr>
              <w:pStyle w:val="Marge"/>
              <w:tabs>
                <w:tab w:val="clear" w:pos="567"/>
                <w:tab w:val="left" w:pos="529"/>
              </w:tabs>
              <w:spacing w:after="120"/>
              <w:rPr>
                <w:rFonts w:cs="Arial"/>
                <w:szCs w:val="22"/>
              </w:rPr>
            </w:pPr>
            <w:r>
              <w:rPr>
                <w:rFonts w:cs="Arial"/>
                <w:szCs w:val="22"/>
                <w:lang w:val="es"/>
              </w:rPr>
              <w:t xml:space="preserve">La Asamblea de la COI, en su 30.ª reunión de 2019, aprobó la </w:t>
            </w:r>
            <w:hyperlink r:id="rId11" w:history="1">
              <w:r>
                <w:rPr>
                  <w:rStyle w:val="Hyperlink"/>
                  <w:rFonts w:cs="Arial"/>
                  <w:szCs w:val="22"/>
                  <w:u w:val="single"/>
                  <w:lang w:val="es"/>
                </w:rPr>
                <w:t>resolución XXX-2</w:t>
              </w:r>
            </w:hyperlink>
            <w:r>
              <w:rPr>
                <w:rFonts w:cs="Arial"/>
                <w:szCs w:val="22"/>
                <w:lang w:val="es"/>
              </w:rPr>
              <w:t xml:space="preserve"> que, junto con la resolución paralela 9 (Cg-18) de la decimoctava reunión del Congreso Meteorológico Mundial, creó la Junta Mixta de Colaboración OMM-COI. En estas resoluciones se instó a la Junta de Colaboración a preparar una estrategia de colaboración OMM-COI global y coordinada, basada en las estrategias sectoriales existentes, y que se presentara en 2021 a los órganos rectores de la COI y la OMM para su aprobación.</w:t>
            </w:r>
          </w:p>
          <w:p w14:paraId="2D8FE939" w14:textId="77777777" w:rsidR="00095152" w:rsidRDefault="00095152" w:rsidP="0042338C">
            <w:pPr>
              <w:pStyle w:val="Marge"/>
              <w:tabs>
                <w:tab w:val="clear" w:pos="567"/>
                <w:tab w:val="left" w:pos="529"/>
              </w:tabs>
              <w:spacing w:after="120"/>
              <w:rPr>
                <w:rFonts w:cs="Arial"/>
                <w:szCs w:val="22"/>
              </w:rPr>
            </w:pPr>
            <w:r>
              <w:rPr>
                <w:rFonts w:cs="Arial"/>
                <w:szCs w:val="22"/>
                <w:u w:val="single"/>
                <w:lang w:val="es"/>
              </w:rPr>
              <w:t>Objetivo del documento</w:t>
            </w:r>
            <w:r>
              <w:rPr>
                <w:rFonts w:cs="Arial"/>
                <w:szCs w:val="22"/>
                <w:lang w:val="es"/>
              </w:rPr>
              <w:t>: Se invita a la Asamblea a adoptar esta estrategia de colaboración, a reserva de su adopción paralela por el Consejo Ejecutivo de la OMM en su 73.ª reunión (que también se celebrará del 14 al 25 de junio de 2021).</w:t>
            </w:r>
          </w:p>
          <w:p w14:paraId="04F30DF9" w14:textId="77777777" w:rsidR="00095152" w:rsidRPr="00467E3F" w:rsidRDefault="00095152" w:rsidP="0042338C">
            <w:pPr>
              <w:pStyle w:val="Marge"/>
              <w:spacing w:after="120"/>
              <w:rPr>
                <w:rFonts w:cs="Arial"/>
                <w:szCs w:val="22"/>
              </w:rPr>
            </w:pPr>
            <w:r>
              <w:rPr>
                <w:rFonts w:cs="Arial"/>
                <w:szCs w:val="22"/>
                <w:u w:val="single"/>
                <w:lang w:val="es"/>
              </w:rPr>
              <w:t>Implicaciones financieras y administrativas</w:t>
            </w:r>
            <w:r>
              <w:rPr>
                <w:rFonts w:cs="Arial"/>
                <w:szCs w:val="22"/>
                <w:lang w:val="es"/>
              </w:rPr>
              <w:t>: Las implicaciones financieras y administrativas de las actividades se enmarcan en los parámetros del presupuesto ordinario de la COI y en los fondos extrapresupuestarios que puedan obtenerse.</w:t>
            </w:r>
          </w:p>
          <w:p w14:paraId="7B6BA9E6" w14:textId="77777777" w:rsidR="00095152" w:rsidRPr="00467E3F" w:rsidRDefault="00095152" w:rsidP="0042338C">
            <w:pPr>
              <w:pStyle w:val="Marge"/>
              <w:spacing w:after="120"/>
              <w:rPr>
                <w:rFonts w:cs="Arial"/>
                <w:szCs w:val="22"/>
              </w:rPr>
            </w:pPr>
            <w:r>
              <w:rPr>
                <w:rFonts w:cs="Arial"/>
                <w:szCs w:val="22"/>
                <w:lang w:val="es"/>
              </w:rPr>
              <w:t xml:space="preserve">La </w:t>
            </w:r>
            <w:r>
              <w:rPr>
                <w:rFonts w:cs="Arial"/>
                <w:szCs w:val="22"/>
                <w:u w:val="single"/>
                <w:lang w:val="es"/>
              </w:rPr>
              <w:t>decisión propuesta</w:t>
            </w:r>
            <w:r>
              <w:rPr>
                <w:rFonts w:cs="Arial"/>
                <w:szCs w:val="22"/>
                <w:lang w:val="es"/>
              </w:rPr>
              <w:t xml:space="preserve"> lleva la referencia </w:t>
            </w:r>
            <w:proofErr w:type="spellStart"/>
            <w:r>
              <w:rPr>
                <w:rFonts w:cs="Arial"/>
                <w:szCs w:val="22"/>
                <w:lang w:val="es"/>
              </w:rPr>
              <w:t>Dec</w:t>
            </w:r>
            <w:proofErr w:type="spellEnd"/>
            <w:r>
              <w:rPr>
                <w:rFonts w:cs="Arial"/>
                <w:szCs w:val="22"/>
                <w:lang w:val="es"/>
              </w:rPr>
              <w:t>. A-31/3.5.5 en el documento de acción (documento IOC/A-31/AP Rev.2)</w:t>
            </w:r>
          </w:p>
        </w:tc>
      </w:tr>
    </w:tbl>
    <w:p w14:paraId="4970614E" w14:textId="77777777" w:rsidR="002204FD" w:rsidRPr="00173C9D" w:rsidRDefault="002204FD" w:rsidP="002204FD">
      <w:pPr>
        <w:tabs>
          <w:tab w:val="clear" w:pos="1134"/>
        </w:tabs>
        <w:jc w:val="left"/>
        <w:rPr>
          <w:b/>
          <w:bCs/>
          <w:iCs/>
          <w:szCs w:val="22"/>
          <w:lang w:val="es-ES_tradnl" w:eastAsia="zh-TW"/>
        </w:rPr>
      </w:pPr>
      <w:r w:rsidRPr="00173C9D">
        <w:rPr>
          <w:lang w:val="es-ES_tradnl"/>
        </w:rPr>
        <w:br w:type="page"/>
      </w:r>
    </w:p>
    <w:p w14:paraId="47746315" w14:textId="77777777" w:rsidR="00C108B8" w:rsidRPr="00095152" w:rsidRDefault="00C108B8" w:rsidP="00095152">
      <w:pPr>
        <w:pStyle w:val="Heading2"/>
        <w:snapToGrid w:val="0"/>
        <w:spacing w:before="0" w:after="240"/>
        <w:jc w:val="both"/>
        <w:rPr>
          <w:rFonts w:ascii="Arial" w:hAnsi="Arial" w:cs="Arial"/>
        </w:rPr>
      </w:pPr>
      <w:bookmarkStart w:id="0" w:name="_Annex_to_draft_3"/>
      <w:bookmarkStart w:id="1" w:name="AnexoResolución"/>
      <w:bookmarkStart w:id="2" w:name="_9urpb0pev664" w:colFirst="0" w:colLast="0"/>
      <w:bookmarkEnd w:id="0"/>
      <w:bookmarkEnd w:id="1"/>
      <w:bookmarkEnd w:id="2"/>
      <w:r w:rsidRPr="00095152">
        <w:rPr>
          <w:rFonts w:ascii="Arial" w:hAnsi="Arial" w:cs="Arial"/>
        </w:rPr>
        <w:lastRenderedPageBreak/>
        <w:t>Información general</w:t>
      </w:r>
    </w:p>
    <w:p w14:paraId="5709E635" w14:textId="68C0377D" w:rsidR="00C108B8" w:rsidRPr="00095152" w:rsidRDefault="00A73666" w:rsidP="00095152">
      <w:pPr>
        <w:tabs>
          <w:tab w:val="clear" w:pos="1134"/>
          <w:tab w:val="left" w:pos="567"/>
        </w:tabs>
        <w:snapToGrid w:val="0"/>
        <w:spacing w:after="240"/>
        <w:rPr>
          <w:rFonts w:ascii="Arial" w:hAnsi="Arial"/>
          <w:color w:val="000000"/>
          <w:sz w:val="22"/>
          <w:szCs w:val="22"/>
          <w:lang w:val="es-ES_tradnl"/>
        </w:rPr>
      </w:pPr>
      <w:r w:rsidRPr="00095152">
        <w:rPr>
          <w:rFonts w:ascii="Arial" w:hAnsi="Arial"/>
          <w:bCs/>
          <w:iCs/>
          <w:color w:val="000000"/>
          <w:sz w:val="22"/>
          <w:szCs w:val="22"/>
          <w:lang w:val="es-ES_tradnl"/>
        </w:rPr>
        <w:t>1.</w:t>
      </w:r>
      <w:r w:rsidRPr="00095152">
        <w:rPr>
          <w:rFonts w:ascii="Arial" w:hAnsi="Arial"/>
          <w:bCs/>
          <w:iCs/>
          <w:color w:val="000000"/>
          <w:sz w:val="22"/>
          <w:szCs w:val="22"/>
          <w:lang w:val="es-ES_tradnl"/>
        </w:rPr>
        <w:tab/>
      </w:r>
      <w:r w:rsidR="00C108B8" w:rsidRPr="00095152">
        <w:rPr>
          <w:rFonts w:ascii="Arial" w:hAnsi="Arial"/>
          <w:sz w:val="22"/>
          <w:szCs w:val="22"/>
          <w:lang w:val="es-ES_tradnl"/>
        </w:rPr>
        <w:t>En 2019, el Decimoctavo Congreso Meteorológico Mundial y la Asamblea de la Comisión Oceanográfica Intergubernamental (COI) de la Organización de las Naciones Unidas para la Educación, la Ciencia y la Cultura (UNESCO)</w:t>
      </w:r>
      <w:r w:rsidR="00791951" w:rsidRPr="00095152">
        <w:rPr>
          <w:rFonts w:ascii="Arial" w:hAnsi="Arial"/>
          <w:sz w:val="22"/>
          <w:szCs w:val="22"/>
          <w:lang w:val="es-ES_tradnl"/>
        </w:rPr>
        <w:t>, en su 30</w:t>
      </w:r>
      <w:r w:rsidR="00791951" w:rsidRPr="00095152">
        <w:rPr>
          <w:rFonts w:ascii="Arial" w:hAnsi="Arial"/>
          <w:sz w:val="22"/>
          <w:szCs w:val="22"/>
          <w:vertAlign w:val="superscript"/>
          <w:lang w:val="es-ES_tradnl"/>
        </w:rPr>
        <w:t>a</w:t>
      </w:r>
      <w:r w:rsidR="00791951" w:rsidRPr="00095152">
        <w:rPr>
          <w:rFonts w:ascii="Arial" w:hAnsi="Arial"/>
          <w:sz w:val="22"/>
          <w:szCs w:val="22"/>
          <w:lang w:val="es-ES_tradnl"/>
        </w:rPr>
        <w:t xml:space="preserve"> reunión,</w:t>
      </w:r>
      <w:r w:rsidR="00C108B8" w:rsidRPr="00095152">
        <w:rPr>
          <w:rFonts w:ascii="Arial" w:hAnsi="Arial"/>
          <w:sz w:val="22"/>
          <w:szCs w:val="22"/>
          <w:lang w:val="es-ES_tradnl"/>
        </w:rPr>
        <w:t xml:space="preserve"> dispus</w:t>
      </w:r>
      <w:r w:rsidR="00791951" w:rsidRPr="00095152">
        <w:rPr>
          <w:rFonts w:ascii="Arial" w:hAnsi="Arial"/>
          <w:sz w:val="22"/>
          <w:szCs w:val="22"/>
          <w:lang w:val="es-ES_tradnl"/>
        </w:rPr>
        <w:t>ieron</w:t>
      </w:r>
      <w:r w:rsidR="00C108B8" w:rsidRPr="00095152">
        <w:rPr>
          <w:rFonts w:ascii="Arial" w:hAnsi="Arial"/>
          <w:sz w:val="22"/>
          <w:szCs w:val="22"/>
          <w:lang w:val="es-ES_tradnl"/>
        </w:rPr>
        <w:t xml:space="preserve"> la creación de la Junta Mixta de Colaboración OMM</w:t>
      </w:r>
      <w:r w:rsidR="00E259FB" w:rsidRPr="00095152">
        <w:rPr>
          <w:rFonts w:ascii="Arial" w:hAnsi="Arial"/>
          <w:sz w:val="22"/>
          <w:szCs w:val="22"/>
          <w:lang w:val="es-ES_tradnl"/>
        </w:rPr>
        <w:t>-</w:t>
      </w:r>
      <w:r w:rsidR="00C108B8" w:rsidRPr="00095152">
        <w:rPr>
          <w:rFonts w:ascii="Arial" w:hAnsi="Arial"/>
          <w:sz w:val="22"/>
          <w:szCs w:val="22"/>
          <w:lang w:val="es-ES_tradnl"/>
        </w:rPr>
        <w:t xml:space="preserve">COI. La Junta Mixta es un órgano de orientación, establecido </w:t>
      </w:r>
      <w:r w:rsidR="00E259FB" w:rsidRPr="00095152">
        <w:rPr>
          <w:rFonts w:ascii="Arial" w:hAnsi="Arial"/>
          <w:sz w:val="22"/>
          <w:szCs w:val="22"/>
          <w:lang w:val="es-ES_tradnl"/>
        </w:rPr>
        <w:t>para</w:t>
      </w:r>
      <w:r w:rsidR="00C108B8" w:rsidRPr="00095152">
        <w:rPr>
          <w:rFonts w:ascii="Arial" w:hAnsi="Arial"/>
          <w:sz w:val="22"/>
          <w:szCs w:val="22"/>
          <w:lang w:val="es-ES_tradnl"/>
        </w:rPr>
        <w:t xml:space="preserve"> promover la colaboración de alto nivel y la amplia participación de los órganos pertinentes de la COI y la Organización Meteorológica Mundial (OMM) con el objetivo de trabajar de forma conjunta </w:t>
      </w:r>
      <w:r w:rsidR="00073150" w:rsidRPr="00095152">
        <w:rPr>
          <w:rFonts w:ascii="Arial" w:hAnsi="Arial"/>
          <w:sz w:val="22"/>
          <w:szCs w:val="22"/>
          <w:lang w:val="es-ES_tradnl"/>
        </w:rPr>
        <w:t xml:space="preserve">en la promoción de </w:t>
      </w:r>
      <w:r w:rsidR="00C108B8" w:rsidRPr="00095152">
        <w:rPr>
          <w:rFonts w:ascii="Arial" w:hAnsi="Arial"/>
          <w:sz w:val="22"/>
          <w:szCs w:val="22"/>
          <w:lang w:val="es-ES_tradnl"/>
        </w:rPr>
        <w:t>todos los aspectos de la cadena de valor relacionad</w:t>
      </w:r>
      <w:r w:rsidR="00E0481B" w:rsidRPr="00095152">
        <w:rPr>
          <w:rFonts w:ascii="Arial" w:hAnsi="Arial"/>
          <w:sz w:val="22"/>
          <w:szCs w:val="22"/>
          <w:lang w:val="es-ES_tradnl"/>
        </w:rPr>
        <w:t>os</w:t>
      </w:r>
      <w:r w:rsidR="00C108B8" w:rsidRPr="00095152">
        <w:rPr>
          <w:rFonts w:ascii="Arial" w:hAnsi="Arial"/>
          <w:sz w:val="22"/>
          <w:szCs w:val="22"/>
          <w:lang w:val="es-ES_tradnl"/>
        </w:rPr>
        <w:t xml:space="preserve"> con las observaciones, la capacidad de predicción, la gestión de los datos y su acceso, la investigación, los servicios mundiales y regionales, y la creación de capacidad. En nombre de la OMM y la COI, la Junta Mixta ha elaborado la presente Estrategia de Colaboración para mantener, reforzar y promover los vínculos entre las comunidades meteorológica, hidrológica, climática y oceánica en aras de cumplir las visiones de la COI y de la OMM, sobre la base de una larga tradición de cooperación. </w:t>
      </w:r>
    </w:p>
    <w:p w14:paraId="31D16755" w14:textId="77777777" w:rsidR="00C108B8" w:rsidRPr="00095152" w:rsidRDefault="00C108B8" w:rsidP="00095152">
      <w:pPr>
        <w:pStyle w:val="Heading2"/>
        <w:snapToGrid w:val="0"/>
        <w:spacing w:before="0" w:after="240"/>
        <w:jc w:val="both"/>
        <w:rPr>
          <w:rFonts w:ascii="Arial" w:hAnsi="Arial" w:cs="Arial"/>
        </w:rPr>
      </w:pPr>
      <w:r w:rsidRPr="00095152">
        <w:rPr>
          <w:rFonts w:ascii="Arial" w:hAnsi="Arial" w:cs="Arial"/>
        </w:rPr>
        <w:t>Marcos y creación colectiva de valor</w:t>
      </w:r>
    </w:p>
    <w:p w14:paraId="4975E6D2" w14:textId="637225D7"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2.</w:t>
      </w:r>
      <w:r w:rsidRPr="00095152">
        <w:rPr>
          <w:rFonts w:ascii="Arial" w:hAnsi="Arial"/>
          <w:bCs/>
          <w:iCs/>
          <w:sz w:val="22"/>
          <w:szCs w:val="22"/>
          <w:lang w:val="es-ES_tradnl"/>
        </w:rPr>
        <w:tab/>
      </w:r>
      <w:r w:rsidR="00C108B8" w:rsidRPr="00095152">
        <w:rPr>
          <w:rFonts w:ascii="Arial" w:hAnsi="Arial"/>
          <w:sz w:val="22"/>
          <w:szCs w:val="22"/>
          <w:lang w:val="es-ES_tradnl"/>
        </w:rPr>
        <w:t xml:space="preserve">Los países han asumido compromisos colectivos y </w:t>
      </w:r>
      <w:r w:rsidR="0027788D" w:rsidRPr="00095152">
        <w:rPr>
          <w:rFonts w:ascii="Arial" w:hAnsi="Arial"/>
          <w:sz w:val="22"/>
          <w:szCs w:val="22"/>
          <w:lang w:val="es-ES_tradnl"/>
        </w:rPr>
        <w:t xml:space="preserve">simultáneos </w:t>
      </w:r>
      <w:r w:rsidR="00C108B8" w:rsidRPr="00095152">
        <w:rPr>
          <w:rFonts w:ascii="Arial" w:hAnsi="Arial"/>
          <w:sz w:val="22"/>
          <w:szCs w:val="22"/>
          <w:lang w:val="es-ES_tradnl"/>
        </w:rPr>
        <w:t xml:space="preserve">en relación con la reducción del riesgo de desastres, la acción climática y el desarrollo sostenible a través de las Naciones Unidas. La labor individual y conjunta de la OMM y la COI promueve esta agenda “para las personas y el planeta” con un apoyo técnico, científico, operacional y de predicción fundamental. </w:t>
      </w:r>
    </w:p>
    <w:p w14:paraId="4B24CFF1" w14:textId="59728A41" w:rsidR="00C108B8" w:rsidRPr="00095152" w:rsidRDefault="00A73666" w:rsidP="00095152">
      <w:pPr>
        <w:tabs>
          <w:tab w:val="clear" w:pos="1134"/>
          <w:tab w:val="left" w:pos="567"/>
        </w:tabs>
        <w:snapToGrid w:val="0"/>
        <w:spacing w:after="240"/>
        <w:rPr>
          <w:rFonts w:ascii="Arial" w:hAnsi="Arial"/>
          <w:spacing w:val="-2"/>
          <w:sz w:val="22"/>
          <w:szCs w:val="22"/>
          <w:lang w:val="es-ES_tradnl"/>
        </w:rPr>
      </w:pPr>
      <w:r w:rsidRPr="00095152">
        <w:rPr>
          <w:rFonts w:ascii="Arial" w:hAnsi="Arial"/>
          <w:bCs/>
          <w:iCs/>
          <w:spacing w:val="-2"/>
          <w:sz w:val="22"/>
          <w:szCs w:val="22"/>
          <w:lang w:val="es-ES_tradnl"/>
        </w:rPr>
        <w:t>3.</w:t>
      </w:r>
      <w:r w:rsidRPr="00095152">
        <w:rPr>
          <w:rFonts w:ascii="Arial" w:hAnsi="Arial"/>
          <w:bCs/>
          <w:iCs/>
          <w:spacing w:val="-2"/>
          <w:sz w:val="22"/>
          <w:szCs w:val="22"/>
          <w:lang w:val="es-ES_tradnl"/>
        </w:rPr>
        <w:tab/>
      </w:r>
      <w:r w:rsidR="00C108B8" w:rsidRPr="00095152">
        <w:rPr>
          <w:rFonts w:ascii="Arial" w:hAnsi="Arial"/>
          <w:sz w:val="22"/>
          <w:szCs w:val="22"/>
          <w:lang w:val="es-ES_tradnl"/>
        </w:rPr>
        <w:t>La COI y la OMM son socios naturales, y la cooperación continua maximizará las contribuciones a las siguientes acciones:</w:t>
      </w:r>
    </w:p>
    <w:p w14:paraId="5E4A3F98" w14:textId="749A5892"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Promover la Agenda 2030 para el Desarrollo Sostenible y muchos de los Objetivos de Desarrollo Sostenible (ODS). En este respecto, el Decenio de las Naciones Unidas de las Ciencias Oceánicas para el Desarrollo Sostenible 2021-2030 (Decenio del Océano) creará soluciones transformadoras de las ciencias oceánicas destinadas a </w:t>
      </w:r>
      <w:r w:rsidR="00FF23D7" w:rsidRPr="00095152">
        <w:rPr>
          <w:rFonts w:ascii="Arial" w:hAnsi="Arial"/>
          <w:sz w:val="22"/>
          <w:szCs w:val="22"/>
          <w:lang w:val="es-ES_tradnl"/>
        </w:rPr>
        <w:t>respaldar</w:t>
      </w:r>
      <w:r w:rsidR="00C108B8" w:rsidRPr="00095152">
        <w:rPr>
          <w:rFonts w:ascii="Arial" w:hAnsi="Arial"/>
          <w:sz w:val="22"/>
          <w:szCs w:val="22"/>
          <w:lang w:val="es-ES_tradnl"/>
        </w:rPr>
        <w:t xml:space="preserve"> </w:t>
      </w:r>
      <w:r w:rsidR="00FF23D7" w:rsidRPr="00095152">
        <w:rPr>
          <w:rFonts w:ascii="Arial" w:hAnsi="Arial"/>
          <w:sz w:val="22"/>
          <w:szCs w:val="22"/>
          <w:lang w:val="es-ES_tradnl"/>
        </w:rPr>
        <w:t>el suministro</w:t>
      </w:r>
      <w:r w:rsidR="00C108B8" w:rsidRPr="00095152">
        <w:rPr>
          <w:rFonts w:ascii="Arial" w:hAnsi="Arial"/>
          <w:sz w:val="22"/>
          <w:szCs w:val="22"/>
          <w:lang w:val="es-ES_tradnl"/>
        </w:rPr>
        <w:t xml:space="preserve"> oportun</w:t>
      </w:r>
      <w:r w:rsidR="00FF23D7" w:rsidRPr="00095152">
        <w:rPr>
          <w:rFonts w:ascii="Arial" w:hAnsi="Arial"/>
          <w:sz w:val="22"/>
          <w:szCs w:val="22"/>
          <w:lang w:val="es-ES_tradnl"/>
        </w:rPr>
        <w:t>o</w:t>
      </w:r>
      <w:r w:rsidR="00C108B8" w:rsidRPr="00095152">
        <w:rPr>
          <w:rFonts w:ascii="Arial" w:hAnsi="Arial"/>
          <w:sz w:val="22"/>
          <w:szCs w:val="22"/>
          <w:lang w:val="es-ES_tradnl"/>
        </w:rPr>
        <w:t xml:space="preserve"> de los datos, la información y los conocimientos necesarios para </w:t>
      </w:r>
      <w:r w:rsidR="00073150" w:rsidRPr="00095152">
        <w:rPr>
          <w:rFonts w:ascii="Arial" w:hAnsi="Arial"/>
          <w:sz w:val="22"/>
          <w:szCs w:val="22"/>
          <w:lang w:val="es-ES_tradnl"/>
        </w:rPr>
        <w:t xml:space="preserve">propiciar </w:t>
      </w:r>
      <w:r w:rsidR="00C108B8" w:rsidRPr="00095152">
        <w:rPr>
          <w:rFonts w:ascii="Arial" w:hAnsi="Arial"/>
          <w:sz w:val="22"/>
          <w:szCs w:val="22"/>
          <w:lang w:val="es-ES_tradnl"/>
        </w:rPr>
        <w:t>el correcto funcionamiento del océano en apoyo de los ODS.</w:t>
      </w:r>
    </w:p>
    <w:p w14:paraId="61768B66" w14:textId="2DCEE0FF"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Mantener la seguridad de las personas y prevenir y reducir el riesgo de desastres, como se establece en el Marco de Sendái para la Reducción del Riesgo de Desastres 2015-2030 y en el Convenio internacional para la seguridad de la vida humana en el mar, 1960 (SOLAS 1960).</w:t>
      </w:r>
    </w:p>
    <w:p w14:paraId="1BCEB873" w14:textId="5D9EBD3E"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Evitar las interferencias peligrosas del hombre en el sistema climático, que es el objetivo de la Convención Marco de las Naciones Unidas sobre el Cambio Climático (CMNUCC); reducir los riesgos y los impactos del cambio climático </w:t>
      </w:r>
      <w:r w:rsidR="007707AB" w:rsidRPr="00095152">
        <w:rPr>
          <w:rFonts w:ascii="Arial" w:hAnsi="Arial"/>
          <w:sz w:val="22"/>
          <w:szCs w:val="22"/>
          <w:lang w:val="es-ES_tradnl"/>
        </w:rPr>
        <w:t xml:space="preserve">a través del </w:t>
      </w:r>
      <w:r w:rsidR="00C108B8" w:rsidRPr="00095152">
        <w:rPr>
          <w:rFonts w:ascii="Arial" w:hAnsi="Arial"/>
          <w:sz w:val="22"/>
          <w:szCs w:val="22"/>
          <w:lang w:val="es-ES_tradnl"/>
        </w:rPr>
        <w:t>Acuerdo de París; y elaborar e incorporar la información y las predicciones climáticas científicas en la planificación, en las políticas y en la práctica, que es la visión del Marco Mundial para los Servicios Climáticos (MMSC).</w:t>
      </w:r>
    </w:p>
    <w:p w14:paraId="6486D8EF" w14:textId="5F3DB6E8"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No dejar a nadie atrás y prestar apoyo para superar los desafíos específicos de los países menos adelantados, los países en desarrollo sin litoral y los pequeños Estados insulares en desarrollo (PEID), en particular a través de las Modalidades de Acción Acelerada para los PEID (Trayectoria de Samoa).</w:t>
      </w:r>
    </w:p>
    <w:p w14:paraId="5A724809" w14:textId="77777777" w:rsidR="00A73666" w:rsidRPr="00095152" w:rsidRDefault="00A73666" w:rsidP="00095152">
      <w:pPr>
        <w:tabs>
          <w:tab w:val="clear" w:pos="1134"/>
        </w:tabs>
        <w:snapToGrid w:val="0"/>
        <w:spacing w:after="240"/>
        <w:rPr>
          <w:rFonts w:ascii="Arial" w:hAnsi="Arial"/>
          <w:bCs/>
          <w:iCs/>
          <w:sz w:val="22"/>
          <w:szCs w:val="22"/>
          <w:lang w:val="es-ES_tradnl"/>
        </w:rPr>
      </w:pPr>
      <w:r w:rsidRPr="00095152">
        <w:rPr>
          <w:rFonts w:ascii="Arial" w:hAnsi="Arial"/>
          <w:bCs/>
          <w:iCs/>
          <w:sz w:val="22"/>
          <w:szCs w:val="22"/>
          <w:lang w:val="es-ES_tradnl"/>
        </w:rPr>
        <w:br w:type="page"/>
      </w:r>
    </w:p>
    <w:p w14:paraId="243D3BC4" w14:textId="311DAC93"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lastRenderedPageBreak/>
        <w:t>4.</w:t>
      </w:r>
      <w:r w:rsidRPr="00095152">
        <w:rPr>
          <w:rFonts w:ascii="Arial" w:hAnsi="Arial"/>
          <w:bCs/>
          <w:iCs/>
          <w:sz w:val="22"/>
          <w:szCs w:val="22"/>
          <w:lang w:val="es-ES_tradnl"/>
        </w:rPr>
        <w:tab/>
      </w:r>
      <w:r w:rsidR="00C108B8" w:rsidRPr="00095152">
        <w:rPr>
          <w:rFonts w:ascii="Arial" w:hAnsi="Arial"/>
          <w:sz w:val="22"/>
          <w:szCs w:val="22"/>
          <w:lang w:val="es-ES_tradnl"/>
        </w:rPr>
        <w:t xml:space="preserve">La OMM y la COI generan beneficios para la sociedad </w:t>
      </w:r>
      <w:r w:rsidR="00EC76AF" w:rsidRPr="00095152">
        <w:rPr>
          <w:rFonts w:ascii="Arial" w:hAnsi="Arial"/>
          <w:sz w:val="22"/>
          <w:szCs w:val="22"/>
          <w:lang w:val="es-ES_tradnl"/>
        </w:rPr>
        <w:t>gracias a</w:t>
      </w:r>
      <w:r w:rsidR="00C108B8" w:rsidRPr="00095152">
        <w:rPr>
          <w:rFonts w:ascii="Arial" w:hAnsi="Arial"/>
          <w:sz w:val="22"/>
          <w:szCs w:val="22"/>
          <w:lang w:val="es-ES_tradnl"/>
        </w:rPr>
        <w:t xml:space="preserve"> las cadenas de valor de observaciones, gestión de datos, sistemas de predicción y servicios operacionales, que </w:t>
      </w:r>
      <w:r w:rsidR="009C7251" w:rsidRPr="00095152">
        <w:rPr>
          <w:rFonts w:ascii="Arial" w:hAnsi="Arial"/>
          <w:sz w:val="22"/>
          <w:szCs w:val="22"/>
          <w:lang w:val="es-ES_tradnl"/>
        </w:rPr>
        <w:t>proceden de</w:t>
      </w:r>
      <w:r w:rsidR="00C108B8" w:rsidRPr="00095152">
        <w:rPr>
          <w:rFonts w:ascii="Arial" w:hAnsi="Arial"/>
          <w:sz w:val="22"/>
          <w:szCs w:val="22"/>
          <w:lang w:val="es-ES_tradnl"/>
        </w:rPr>
        <w:t xml:space="preserve"> una infraestructura común </w:t>
      </w:r>
      <w:r w:rsidR="00AB3CA9" w:rsidRPr="00095152">
        <w:rPr>
          <w:rFonts w:ascii="Arial" w:hAnsi="Arial"/>
          <w:sz w:val="22"/>
          <w:szCs w:val="22"/>
          <w:lang w:val="es-ES_tradnl"/>
        </w:rPr>
        <w:t>por conducto</w:t>
      </w:r>
      <w:r w:rsidR="00625D4A" w:rsidRPr="00095152">
        <w:rPr>
          <w:rFonts w:ascii="Arial" w:hAnsi="Arial"/>
          <w:sz w:val="22"/>
          <w:szCs w:val="22"/>
          <w:lang w:val="es-ES_tradnl"/>
        </w:rPr>
        <w:t xml:space="preserve"> </w:t>
      </w:r>
      <w:r w:rsidR="00C108B8" w:rsidRPr="00095152">
        <w:rPr>
          <w:rFonts w:ascii="Arial" w:hAnsi="Arial"/>
          <w:sz w:val="22"/>
          <w:szCs w:val="22"/>
          <w:lang w:val="es-ES_tradnl"/>
        </w:rPr>
        <w:t>de la</w:t>
      </w:r>
      <w:r w:rsidR="00BB302C" w:rsidRPr="00095152">
        <w:rPr>
          <w:rFonts w:ascii="Arial" w:hAnsi="Arial"/>
          <w:sz w:val="22"/>
          <w:szCs w:val="22"/>
          <w:lang w:val="es-ES_tradnl"/>
        </w:rPr>
        <w:t>s</w:t>
      </w:r>
      <w:r w:rsidR="00C108B8" w:rsidRPr="00095152">
        <w:rPr>
          <w:rFonts w:ascii="Arial" w:hAnsi="Arial"/>
          <w:sz w:val="22"/>
          <w:szCs w:val="22"/>
          <w:lang w:val="es-ES_tradnl"/>
        </w:rPr>
        <w:t xml:space="preserve"> investigaci</w:t>
      </w:r>
      <w:r w:rsidR="00BB302C" w:rsidRPr="00095152">
        <w:rPr>
          <w:rFonts w:ascii="Arial" w:hAnsi="Arial"/>
          <w:sz w:val="22"/>
          <w:szCs w:val="22"/>
          <w:lang w:val="es-ES_tradnl"/>
        </w:rPr>
        <w:t>o</w:t>
      </w:r>
      <w:r w:rsidR="00C108B8" w:rsidRPr="00095152">
        <w:rPr>
          <w:rFonts w:ascii="Arial" w:hAnsi="Arial"/>
          <w:sz w:val="22"/>
          <w:szCs w:val="22"/>
          <w:lang w:val="es-ES_tradnl"/>
        </w:rPr>
        <w:t>n</w:t>
      </w:r>
      <w:r w:rsidR="00BB302C" w:rsidRPr="00095152">
        <w:rPr>
          <w:rFonts w:ascii="Arial" w:hAnsi="Arial"/>
          <w:sz w:val="22"/>
          <w:szCs w:val="22"/>
          <w:lang w:val="es-ES_tradnl"/>
        </w:rPr>
        <w:t>es</w:t>
      </w:r>
      <w:r w:rsidR="00C108B8" w:rsidRPr="00095152">
        <w:rPr>
          <w:rFonts w:ascii="Arial" w:hAnsi="Arial"/>
          <w:sz w:val="22"/>
          <w:szCs w:val="22"/>
          <w:lang w:val="es-ES_tradnl"/>
        </w:rPr>
        <w:t xml:space="preserve"> científica</w:t>
      </w:r>
      <w:r w:rsidR="00BB302C" w:rsidRPr="00095152">
        <w:rPr>
          <w:rFonts w:ascii="Arial" w:hAnsi="Arial"/>
          <w:sz w:val="22"/>
          <w:szCs w:val="22"/>
          <w:lang w:val="es-ES_tradnl"/>
        </w:rPr>
        <w:t>s</w:t>
      </w:r>
      <w:r w:rsidR="00C108B8" w:rsidRPr="00095152">
        <w:rPr>
          <w:rFonts w:ascii="Arial" w:hAnsi="Arial"/>
          <w:sz w:val="22"/>
          <w:szCs w:val="22"/>
          <w:lang w:val="es-ES_tradnl"/>
        </w:rPr>
        <w:t>, las evaluaciones y la influencia en la elaboración de políticas. La colaboración</w:t>
      </w:r>
      <w:r w:rsidR="000673F3" w:rsidRPr="00095152">
        <w:rPr>
          <w:rFonts w:ascii="Arial" w:hAnsi="Arial"/>
          <w:sz w:val="22"/>
          <w:szCs w:val="22"/>
          <w:lang w:val="es-ES_tradnl"/>
        </w:rPr>
        <w:t>,</w:t>
      </w:r>
      <w:r w:rsidR="00C108B8" w:rsidRPr="00095152">
        <w:rPr>
          <w:rFonts w:ascii="Arial" w:hAnsi="Arial"/>
          <w:sz w:val="22"/>
          <w:szCs w:val="22"/>
          <w:lang w:val="es-ES_tradnl"/>
        </w:rPr>
        <w:t xml:space="preserve"> y el diseño y la creación conjuntos</w:t>
      </w:r>
      <w:r w:rsidR="000673F3" w:rsidRPr="00095152">
        <w:rPr>
          <w:rFonts w:ascii="Arial" w:hAnsi="Arial"/>
          <w:sz w:val="22"/>
          <w:szCs w:val="22"/>
          <w:lang w:val="es-ES_tradnl"/>
        </w:rPr>
        <w:t>,</w:t>
      </w:r>
      <w:r w:rsidR="00C108B8" w:rsidRPr="00095152">
        <w:rPr>
          <w:rFonts w:ascii="Arial" w:hAnsi="Arial"/>
          <w:sz w:val="22"/>
          <w:szCs w:val="22"/>
          <w:lang w:val="es-ES_tradnl"/>
        </w:rPr>
        <w:t xml:space="preserve"> respaldarán la acción de los Miembros de la OMM y de los Estados Miembros de la COI</w:t>
      </w:r>
      <w:r w:rsidR="000762A6" w:rsidRPr="00095152">
        <w:rPr>
          <w:rFonts w:ascii="Arial" w:hAnsi="Arial"/>
          <w:sz w:val="22"/>
          <w:szCs w:val="22"/>
          <w:lang w:val="es-ES_tradnl"/>
        </w:rPr>
        <w:t xml:space="preserve"> </w:t>
      </w:r>
      <w:r w:rsidR="00C108B8" w:rsidRPr="00095152">
        <w:rPr>
          <w:rFonts w:ascii="Arial" w:hAnsi="Arial"/>
          <w:sz w:val="22"/>
          <w:szCs w:val="22"/>
          <w:lang w:val="es-ES_tradnl"/>
        </w:rPr>
        <w:t>mediante enfoques regionales y el desarrollo de capacidad</w:t>
      </w:r>
      <w:r w:rsidR="000762A6" w:rsidRPr="00095152">
        <w:rPr>
          <w:rFonts w:ascii="Arial" w:hAnsi="Arial"/>
          <w:sz w:val="22"/>
          <w:szCs w:val="22"/>
          <w:lang w:val="es-ES_tradnl"/>
        </w:rPr>
        <w:t>, entre otras medidas</w:t>
      </w:r>
      <w:r w:rsidR="00C108B8" w:rsidRPr="00095152">
        <w:rPr>
          <w:rFonts w:ascii="Arial" w:hAnsi="Arial"/>
          <w:sz w:val="22"/>
          <w:szCs w:val="22"/>
          <w:lang w:val="es-ES_tradnl"/>
        </w:rPr>
        <w:t>.</w:t>
      </w:r>
    </w:p>
    <w:p w14:paraId="5C2A9A1B" w14:textId="77777777" w:rsidR="00C108B8" w:rsidRPr="00095152" w:rsidRDefault="00C108B8" w:rsidP="00095152">
      <w:pPr>
        <w:pStyle w:val="Heading2"/>
        <w:snapToGrid w:val="0"/>
        <w:spacing w:before="0" w:after="240"/>
        <w:jc w:val="both"/>
        <w:rPr>
          <w:rFonts w:ascii="Arial" w:hAnsi="Arial" w:cs="Arial"/>
        </w:rPr>
      </w:pPr>
      <w:r w:rsidRPr="00095152">
        <w:rPr>
          <w:rFonts w:ascii="Arial" w:hAnsi="Arial" w:cs="Arial"/>
        </w:rPr>
        <w:t>Visión</w:t>
      </w:r>
    </w:p>
    <w:p w14:paraId="6966D7B8" w14:textId="43B17D64" w:rsidR="00C108B8" w:rsidRPr="00095152" w:rsidRDefault="00A73666" w:rsidP="00095152">
      <w:pPr>
        <w:tabs>
          <w:tab w:val="clear" w:pos="1134"/>
          <w:tab w:val="left" w:pos="567"/>
        </w:tabs>
        <w:snapToGrid w:val="0"/>
        <w:spacing w:after="240"/>
        <w:rPr>
          <w:rFonts w:ascii="Arial" w:hAnsi="Arial"/>
          <w:i/>
          <w:color w:val="000000"/>
          <w:sz w:val="22"/>
          <w:szCs w:val="22"/>
          <w:lang w:val="es-ES_tradnl"/>
        </w:rPr>
      </w:pPr>
      <w:r w:rsidRPr="00095152">
        <w:rPr>
          <w:rFonts w:ascii="Arial" w:hAnsi="Arial"/>
          <w:bCs/>
          <w:iCs/>
          <w:color w:val="000000"/>
          <w:sz w:val="22"/>
          <w:szCs w:val="22"/>
          <w:lang w:val="es-ES_tradnl"/>
        </w:rPr>
        <w:t>5.</w:t>
      </w:r>
      <w:r w:rsidRPr="00095152">
        <w:rPr>
          <w:rFonts w:ascii="Arial" w:hAnsi="Arial"/>
          <w:bCs/>
          <w:iCs/>
          <w:color w:val="000000"/>
          <w:sz w:val="22"/>
          <w:szCs w:val="22"/>
          <w:lang w:val="es-ES_tradnl"/>
        </w:rPr>
        <w:tab/>
      </w:r>
      <w:r w:rsidR="00C108B8" w:rsidRPr="00095152">
        <w:rPr>
          <w:rFonts w:ascii="Arial" w:hAnsi="Arial"/>
          <w:sz w:val="22"/>
          <w:szCs w:val="22"/>
          <w:lang w:val="es-ES_tradnl"/>
        </w:rPr>
        <w:t xml:space="preserve">En la visión del </w:t>
      </w:r>
      <w:hyperlink r:id="rId12" w:history="1">
        <w:r w:rsidR="00C108B8" w:rsidRPr="00095152">
          <w:rPr>
            <w:rStyle w:val="Hyperlink"/>
            <w:rFonts w:ascii="Arial" w:hAnsi="Arial"/>
            <w:sz w:val="22"/>
            <w:szCs w:val="22"/>
            <w:lang w:val="es-ES_tradnl"/>
          </w:rPr>
          <w:t xml:space="preserve">Plan Estratégico de la </w:t>
        </w:r>
        <w:r w:rsidR="00C108B8" w:rsidRPr="00095152">
          <w:rPr>
            <w:rStyle w:val="Hyperlink"/>
            <w:rFonts w:ascii="Arial" w:hAnsi="Arial"/>
            <w:b/>
            <w:bCs/>
            <w:sz w:val="22"/>
            <w:szCs w:val="22"/>
            <w:lang w:val="es-ES_tradnl"/>
          </w:rPr>
          <w:t xml:space="preserve">OMM </w:t>
        </w:r>
        <w:r w:rsidR="00C108B8" w:rsidRPr="00095152">
          <w:rPr>
            <w:rStyle w:val="Hyperlink"/>
            <w:rFonts w:ascii="Arial" w:hAnsi="Arial"/>
            <w:sz w:val="22"/>
            <w:szCs w:val="22"/>
            <w:lang w:val="es-ES_tradnl"/>
          </w:rPr>
          <w:t>para 2020-2023</w:t>
        </w:r>
      </w:hyperlink>
      <w:r w:rsidR="00C108B8" w:rsidRPr="00095152">
        <w:rPr>
          <w:rFonts w:ascii="Arial" w:hAnsi="Arial"/>
          <w:sz w:val="22"/>
          <w:szCs w:val="22"/>
          <w:lang w:val="es-ES_tradnl"/>
        </w:rPr>
        <w:t xml:space="preserve"> se establece que, de aquí a 2030, </w:t>
      </w:r>
      <w:r w:rsidR="00E920C5" w:rsidRPr="00095152">
        <w:rPr>
          <w:rFonts w:ascii="Arial" w:hAnsi="Arial"/>
          <w:sz w:val="22"/>
          <w:szCs w:val="22"/>
          <w:lang w:val="es-ES_tradnl"/>
        </w:rPr>
        <w:t>viviremos</w:t>
      </w:r>
      <w:r w:rsidR="00FE68F0" w:rsidRPr="00095152">
        <w:rPr>
          <w:rFonts w:ascii="Arial" w:hAnsi="Arial"/>
          <w:sz w:val="22"/>
          <w:szCs w:val="22"/>
          <w:lang w:val="es-ES_tradnl"/>
        </w:rPr>
        <w:t xml:space="preserve"> en</w:t>
      </w:r>
      <w:r w:rsidR="00E920C5" w:rsidRPr="00095152">
        <w:rPr>
          <w:rFonts w:ascii="Arial" w:hAnsi="Arial"/>
          <w:sz w:val="22"/>
          <w:szCs w:val="22"/>
          <w:lang w:val="es-ES_tradnl"/>
        </w:rPr>
        <w:t xml:space="preserve"> </w:t>
      </w:r>
      <w:r w:rsidR="00C108B8" w:rsidRPr="00095152">
        <w:rPr>
          <w:rFonts w:ascii="Arial" w:hAnsi="Arial"/>
          <w:sz w:val="22"/>
          <w:szCs w:val="22"/>
          <w:lang w:val="es-ES_tradnl"/>
        </w:rPr>
        <w:t>un mundo “</w:t>
      </w:r>
      <w:r w:rsidR="00C108B8" w:rsidRPr="00095152">
        <w:rPr>
          <w:rFonts w:ascii="Arial" w:hAnsi="Arial"/>
          <w:i/>
          <w:iCs/>
          <w:sz w:val="22"/>
          <w:szCs w:val="22"/>
          <w:lang w:val="es-ES_tradnl"/>
        </w:rPr>
        <w:t>donde todas las naciones, y en especial las más vulnerables, serán más resilientes a las consecuencias socioeconómicas de los fenómenos extremos relacionados con el tiempo, el clima o el agua y con otros fenómenos medioambientales,</w:t>
      </w:r>
      <w:r w:rsidR="00C108B8" w:rsidRPr="00095152">
        <w:rPr>
          <w:rFonts w:ascii="Arial" w:hAnsi="Arial"/>
          <w:sz w:val="22"/>
          <w:szCs w:val="22"/>
          <w:lang w:val="es-ES_tradnl"/>
        </w:rPr>
        <w:t xml:space="preserve"> </w:t>
      </w:r>
      <w:r w:rsidR="00C108B8" w:rsidRPr="00095152">
        <w:rPr>
          <w:rFonts w:ascii="Arial" w:hAnsi="Arial"/>
          <w:i/>
          <w:iCs/>
          <w:sz w:val="22"/>
          <w:szCs w:val="22"/>
          <w:lang w:val="es-ES_tradnl"/>
        </w:rPr>
        <w:t>y consolidarán su desarrollo sostenible mediante los mejores servicios posibles, ya sea en la tierra, el mar o el aire”.</w:t>
      </w:r>
    </w:p>
    <w:p w14:paraId="296EACD9" w14:textId="45992EDB" w:rsidR="00C108B8" w:rsidRPr="00095152" w:rsidRDefault="00A73666" w:rsidP="00095152">
      <w:pPr>
        <w:tabs>
          <w:tab w:val="clear" w:pos="1134"/>
          <w:tab w:val="left" w:pos="567"/>
        </w:tabs>
        <w:snapToGrid w:val="0"/>
        <w:spacing w:after="240"/>
        <w:rPr>
          <w:rFonts w:ascii="Arial" w:hAnsi="Arial"/>
          <w:color w:val="000000"/>
          <w:sz w:val="22"/>
          <w:szCs w:val="22"/>
          <w:lang w:val="es-ES_tradnl"/>
        </w:rPr>
      </w:pPr>
      <w:r w:rsidRPr="00095152">
        <w:rPr>
          <w:rFonts w:ascii="Arial" w:hAnsi="Arial"/>
          <w:bCs/>
          <w:iCs/>
          <w:color w:val="000000"/>
          <w:sz w:val="22"/>
          <w:szCs w:val="22"/>
          <w:lang w:val="es-ES_tradnl"/>
        </w:rPr>
        <w:t>6.</w:t>
      </w:r>
      <w:r w:rsidRPr="00095152">
        <w:rPr>
          <w:rFonts w:ascii="Arial" w:hAnsi="Arial"/>
          <w:bCs/>
          <w:iCs/>
          <w:color w:val="000000"/>
          <w:sz w:val="22"/>
          <w:szCs w:val="22"/>
          <w:lang w:val="es-ES_tradnl"/>
        </w:rPr>
        <w:tab/>
      </w:r>
      <w:r w:rsidR="00C108B8" w:rsidRPr="00095152">
        <w:rPr>
          <w:rFonts w:ascii="Arial" w:hAnsi="Arial"/>
          <w:sz w:val="22"/>
          <w:szCs w:val="22"/>
          <w:lang w:val="es-ES_tradnl"/>
        </w:rPr>
        <w:t xml:space="preserve">La visión de la Estrategia a Plazo Medio de la </w:t>
      </w:r>
      <w:r w:rsidR="00C108B8" w:rsidRPr="00095152">
        <w:rPr>
          <w:rFonts w:ascii="Arial" w:hAnsi="Arial"/>
          <w:b/>
          <w:bCs/>
          <w:sz w:val="22"/>
          <w:szCs w:val="22"/>
          <w:lang w:val="es-ES_tradnl"/>
        </w:rPr>
        <w:t xml:space="preserve">COI </w:t>
      </w:r>
      <w:r w:rsidR="00C108B8" w:rsidRPr="00095152">
        <w:rPr>
          <w:rFonts w:ascii="Arial" w:hAnsi="Arial"/>
          <w:sz w:val="22"/>
          <w:szCs w:val="22"/>
          <w:lang w:val="es-ES_tradnl"/>
        </w:rPr>
        <w:t xml:space="preserve">2022-2029 es reunir a los gobiernos y a la comunidad científica para lograr </w:t>
      </w:r>
      <w:r w:rsidR="00AC1727" w:rsidRPr="00095152">
        <w:rPr>
          <w:rFonts w:ascii="Arial" w:hAnsi="Arial"/>
          <w:sz w:val="22"/>
          <w:szCs w:val="22"/>
          <w:lang w:val="es-ES_tradnl"/>
        </w:rPr>
        <w:t>“</w:t>
      </w:r>
      <w:r w:rsidR="00C108B8" w:rsidRPr="00095152">
        <w:rPr>
          <w:rFonts w:ascii="Arial" w:hAnsi="Arial"/>
          <w:i/>
          <w:iCs/>
          <w:sz w:val="22"/>
          <w:szCs w:val="22"/>
          <w:lang w:val="es-ES_tradnl"/>
        </w:rPr>
        <w:t>la ciencia que necesitamos para el océano que queremos</w:t>
      </w:r>
      <w:r w:rsidR="00AC1727" w:rsidRPr="00095152">
        <w:rPr>
          <w:rFonts w:ascii="Arial" w:hAnsi="Arial"/>
          <w:sz w:val="22"/>
          <w:szCs w:val="22"/>
          <w:lang w:val="es-ES_tradnl"/>
        </w:rPr>
        <w:t>”</w:t>
      </w:r>
      <w:r w:rsidR="00C108B8" w:rsidRPr="00095152">
        <w:rPr>
          <w:rFonts w:ascii="Arial" w:hAnsi="Arial"/>
          <w:sz w:val="22"/>
          <w:szCs w:val="22"/>
          <w:lang w:val="es-ES_tradnl"/>
        </w:rPr>
        <w:t xml:space="preserve">, es decir, un océano limpio, sano y resiliente, productivo, predecible, seguro, accesible y que sea inspirador y atractivo, donde la sociedad comprenda y valore </w:t>
      </w:r>
      <w:r w:rsidR="006A0245" w:rsidRPr="00095152">
        <w:rPr>
          <w:rFonts w:ascii="Arial" w:hAnsi="Arial"/>
          <w:sz w:val="22"/>
          <w:szCs w:val="22"/>
          <w:lang w:val="es-ES_tradnl"/>
        </w:rPr>
        <w:t xml:space="preserve">la importancia del </w:t>
      </w:r>
      <w:r w:rsidR="00C108B8" w:rsidRPr="00095152">
        <w:rPr>
          <w:rFonts w:ascii="Arial" w:hAnsi="Arial"/>
          <w:sz w:val="22"/>
          <w:szCs w:val="22"/>
          <w:lang w:val="es-ES_tradnl"/>
        </w:rPr>
        <w:t>océano en relación con el bienestar humano y el desarrollo sostenible.</w:t>
      </w:r>
    </w:p>
    <w:p w14:paraId="15E9D61A" w14:textId="100052D2" w:rsidR="00C108B8" w:rsidRPr="00095152" w:rsidRDefault="00A73666" w:rsidP="00095152">
      <w:pPr>
        <w:tabs>
          <w:tab w:val="clear" w:pos="1134"/>
          <w:tab w:val="left" w:pos="567"/>
        </w:tabs>
        <w:snapToGrid w:val="0"/>
        <w:spacing w:after="240"/>
        <w:rPr>
          <w:rFonts w:ascii="Arial" w:hAnsi="Arial"/>
          <w:color w:val="000000"/>
          <w:sz w:val="22"/>
          <w:szCs w:val="22"/>
          <w:lang w:val="es-ES_tradnl"/>
        </w:rPr>
      </w:pPr>
      <w:r w:rsidRPr="00095152">
        <w:rPr>
          <w:rFonts w:ascii="Arial" w:hAnsi="Arial"/>
          <w:bCs/>
          <w:iCs/>
          <w:color w:val="000000"/>
          <w:sz w:val="22"/>
          <w:szCs w:val="22"/>
          <w:lang w:val="es-ES_tradnl"/>
        </w:rPr>
        <w:t>7.</w:t>
      </w:r>
      <w:r w:rsidRPr="00095152">
        <w:rPr>
          <w:rFonts w:ascii="Arial" w:hAnsi="Arial"/>
          <w:bCs/>
          <w:iCs/>
          <w:color w:val="000000"/>
          <w:sz w:val="22"/>
          <w:szCs w:val="22"/>
          <w:lang w:val="es-ES_tradnl"/>
        </w:rPr>
        <w:tab/>
      </w:r>
      <w:r w:rsidR="00C108B8" w:rsidRPr="00095152">
        <w:rPr>
          <w:rFonts w:ascii="Arial" w:hAnsi="Arial"/>
          <w:sz w:val="22"/>
          <w:szCs w:val="22"/>
          <w:lang w:val="es-ES_tradnl"/>
        </w:rPr>
        <w:t xml:space="preserve">Las dos organizaciones </w:t>
      </w:r>
      <w:r w:rsidR="00E17F19" w:rsidRPr="00095152">
        <w:rPr>
          <w:rFonts w:ascii="Arial" w:hAnsi="Arial"/>
          <w:sz w:val="22"/>
          <w:szCs w:val="22"/>
          <w:lang w:val="es-ES_tradnl"/>
        </w:rPr>
        <w:t xml:space="preserve">comparten </w:t>
      </w:r>
      <w:r w:rsidR="00C108B8" w:rsidRPr="00095152">
        <w:rPr>
          <w:rFonts w:ascii="Arial" w:hAnsi="Arial"/>
          <w:sz w:val="22"/>
          <w:szCs w:val="22"/>
          <w:lang w:val="es-ES_tradnl"/>
        </w:rPr>
        <w:t xml:space="preserve">el deseo de </w:t>
      </w:r>
      <w:r w:rsidR="002178F1" w:rsidRPr="00095152">
        <w:rPr>
          <w:rFonts w:ascii="Arial" w:hAnsi="Arial"/>
          <w:sz w:val="22"/>
          <w:szCs w:val="22"/>
          <w:lang w:val="es-ES_tradnl"/>
        </w:rPr>
        <w:t>reforzar la capacidad de</w:t>
      </w:r>
      <w:r w:rsidR="00C108B8" w:rsidRPr="00095152">
        <w:rPr>
          <w:rFonts w:ascii="Arial" w:hAnsi="Arial"/>
          <w:sz w:val="22"/>
          <w:szCs w:val="22"/>
          <w:lang w:val="es-ES_tradnl"/>
        </w:rPr>
        <w:t xml:space="preserve"> los Miembros y los Estados Miembros </w:t>
      </w:r>
      <w:r w:rsidR="00E17F19" w:rsidRPr="00095152">
        <w:rPr>
          <w:rFonts w:ascii="Arial" w:hAnsi="Arial"/>
          <w:sz w:val="22"/>
          <w:szCs w:val="22"/>
          <w:lang w:val="es-ES_tradnl"/>
        </w:rPr>
        <w:t>para crear</w:t>
      </w:r>
      <w:r w:rsidR="00C108B8" w:rsidRPr="00095152">
        <w:rPr>
          <w:rFonts w:ascii="Arial" w:hAnsi="Arial"/>
          <w:sz w:val="22"/>
          <w:szCs w:val="22"/>
          <w:lang w:val="es-ES_tradnl"/>
        </w:rPr>
        <w:t xml:space="preserve"> resiliencia y </w:t>
      </w:r>
      <w:r w:rsidR="00E17F19" w:rsidRPr="00095152">
        <w:rPr>
          <w:rFonts w:ascii="Arial" w:hAnsi="Arial"/>
          <w:sz w:val="22"/>
          <w:szCs w:val="22"/>
          <w:lang w:val="es-ES_tradnl"/>
        </w:rPr>
        <w:t>reducir los</w:t>
      </w:r>
      <w:r w:rsidR="00C108B8" w:rsidRPr="00095152">
        <w:rPr>
          <w:rFonts w:ascii="Arial" w:hAnsi="Arial"/>
          <w:sz w:val="22"/>
          <w:szCs w:val="22"/>
          <w:lang w:val="es-ES_tradnl"/>
        </w:rPr>
        <w:t xml:space="preserve"> riesgos, </w:t>
      </w:r>
      <w:r w:rsidR="002566E1" w:rsidRPr="00095152">
        <w:rPr>
          <w:rFonts w:ascii="Arial" w:hAnsi="Arial"/>
          <w:sz w:val="22"/>
          <w:szCs w:val="22"/>
          <w:lang w:val="es-ES_tradnl"/>
        </w:rPr>
        <w:t>sentando las</w:t>
      </w:r>
      <w:r w:rsidR="00551A97" w:rsidRPr="00095152">
        <w:rPr>
          <w:rFonts w:ascii="Arial" w:hAnsi="Arial"/>
          <w:sz w:val="22"/>
          <w:szCs w:val="22"/>
          <w:lang w:val="es-ES_tradnl"/>
        </w:rPr>
        <w:t xml:space="preserve"> base</w:t>
      </w:r>
      <w:r w:rsidR="002566E1" w:rsidRPr="00095152">
        <w:rPr>
          <w:rFonts w:ascii="Arial" w:hAnsi="Arial"/>
          <w:sz w:val="22"/>
          <w:szCs w:val="22"/>
          <w:lang w:val="es-ES_tradnl"/>
        </w:rPr>
        <w:t>s</w:t>
      </w:r>
      <w:r w:rsidR="00551A97" w:rsidRPr="00095152">
        <w:rPr>
          <w:rFonts w:ascii="Arial" w:hAnsi="Arial"/>
          <w:sz w:val="22"/>
          <w:szCs w:val="22"/>
          <w:lang w:val="es-ES_tradnl"/>
        </w:rPr>
        <w:t xml:space="preserve"> para </w:t>
      </w:r>
      <w:r w:rsidR="00C108B8" w:rsidRPr="00095152">
        <w:rPr>
          <w:rFonts w:ascii="Arial" w:hAnsi="Arial"/>
          <w:sz w:val="22"/>
          <w:szCs w:val="22"/>
          <w:lang w:val="es-ES_tradnl"/>
        </w:rPr>
        <w:t xml:space="preserve">el desarrollo sostenible a escala nacional y mundial. </w:t>
      </w:r>
      <w:r w:rsidR="009750EC" w:rsidRPr="00095152">
        <w:rPr>
          <w:rFonts w:ascii="Arial" w:hAnsi="Arial"/>
          <w:sz w:val="22"/>
          <w:szCs w:val="22"/>
          <w:lang w:val="es-ES_tradnl"/>
        </w:rPr>
        <w:t>Habida cuenta</w:t>
      </w:r>
      <w:r w:rsidR="00E44990" w:rsidRPr="00095152">
        <w:rPr>
          <w:rFonts w:ascii="Arial" w:hAnsi="Arial"/>
          <w:sz w:val="22"/>
          <w:szCs w:val="22"/>
          <w:lang w:val="es-ES_tradnl"/>
        </w:rPr>
        <w:t xml:space="preserve"> de</w:t>
      </w:r>
      <w:r w:rsidR="00841443" w:rsidRPr="00095152">
        <w:rPr>
          <w:rFonts w:ascii="Arial" w:hAnsi="Arial"/>
          <w:sz w:val="22"/>
          <w:szCs w:val="22"/>
          <w:lang w:val="es-ES_tradnl"/>
        </w:rPr>
        <w:t>l</w:t>
      </w:r>
      <w:r w:rsidR="00C108B8" w:rsidRPr="00095152">
        <w:rPr>
          <w:rFonts w:ascii="Arial" w:hAnsi="Arial"/>
          <w:sz w:val="22"/>
          <w:szCs w:val="22"/>
          <w:lang w:val="es-ES_tradnl"/>
        </w:rPr>
        <w:t xml:space="preserve"> carácter de cada organización, la OMM hace hincapié en los servicios y las consecuencias relacionadas con el tiempo, el clima y el agua, mientras que la COI pone de relieve la comprensión y las soluciones científicas para todo el ámbito oceánico, </w:t>
      </w:r>
      <w:r w:rsidR="009A5F52" w:rsidRPr="00095152">
        <w:rPr>
          <w:rFonts w:ascii="Arial" w:hAnsi="Arial"/>
          <w:sz w:val="22"/>
          <w:szCs w:val="22"/>
          <w:lang w:val="es-ES_tradnl"/>
        </w:rPr>
        <w:t>incluido</w:t>
      </w:r>
      <w:r w:rsidR="006A0245" w:rsidRPr="00095152">
        <w:rPr>
          <w:rFonts w:ascii="Arial" w:hAnsi="Arial"/>
          <w:sz w:val="22"/>
          <w:szCs w:val="22"/>
          <w:lang w:val="es-ES_tradnl"/>
        </w:rPr>
        <w:t xml:space="preserve"> </w:t>
      </w:r>
      <w:r w:rsidR="00C108B8" w:rsidRPr="00095152">
        <w:rPr>
          <w:rFonts w:ascii="Arial" w:hAnsi="Arial"/>
          <w:sz w:val="22"/>
          <w:szCs w:val="22"/>
          <w:lang w:val="es-ES_tradnl"/>
        </w:rPr>
        <w:t xml:space="preserve">un océano saludable. </w:t>
      </w:r>
      <w:r w:rsidR="00DE3B8B" w:rsidRPr="00095152">
        <w:rPr>
          <w:rFonts w:ascii="Arial" w:hAnsi="Arial"/>
          <w:sz w:val="22"/>
          <w:szCs w:val="22"/>
          <w:lang w:val="es-ES_tradnl"/>
        </w:rPr>
        <w:t xml:space="preserve">Deben reconocerse las diferencias sin restar importancia </w:t>
      </w:r>
      <w:r w:rsidR="00C108B8" w:rsidRPr="00095152">
        <w:rPr>
          <w:rFonts w:ascii="Arial" w:hAnsi="Arial"/>
          <w:sz w:val="22"/>
          <w:szCs w:val="22"/>
          <w:lang w:val="es-ES_tradnl"/>
        </w:rPr>
        <w:t>a los elementos comunes de las visiones entre ambas.</w:t>
      </w:r>
    </w:p>
    <w:p w14:paraId="46C7720C" w14:textId="77777777" w:rsidR="00C108B8" w:rsidRPr="00095152" w:rsidRDefault="00C108B8" w:rsidP="00095152">
      <w:pPr>
        <w:pStyle w:val="Heading2"/>
        <w:snapToGrid w:val="0"/>
        <w:spacing w:before="0" w:after="240"/>
        <w:jc w:val="both"/>
        <w:rPr>
          <w:rFonts w:ascii="Arial" w:hAnsi="Arial" w:cs="Arial"/>
        </w:rPr>
      </w:pPr>
      <w:r w:rsidRPr="00095152">
        <w:rPr>
          <w:rFonts w:ascii="Arial" w:hAnsi="Arial" w:cs="Arial"/>
        </w:rPr>
        <w:t>Misión y objetivos</w:t>
      </w:r>
    </w:p>
    <w:p w14:paraId="6C6EFE96" w14:textId="3C09B471"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8.</w:t>
      </w:r>
      <w:r w:rsidRPr="00095152">
        <w:rPr>
          <w:rFonts w:ascii="Arial" w:hAnsi="Arial"/>
          <w:bCs/>
          <w:iCs/>
          <w:sz w:val="22"/>
          <w:szCs w:val="22"/>
          <w:lang w:val="es-ES_tradnl"/>
        </w:rPr>
        <w:tab/>
      </w:r>
      <w:r w:rsidR="00C108B8" w:rsidRPr="00095152">
        <w:rPr>
          <w:rFonts w:ascii="Arial" w:hAnsi="Arial"/>
          <w:sz w:val="22"/>
          <w:szCs w:val="22"/>
          <w:lang w:val="es-ES_tradnl"/>
        </w:rPr>
        <w:t xml:space="preserve">La misión de la </w:t>
      </w:r>
      <w:r w:rsidR="00C108B8" w:rsidRPr="00095152">
        <w:rPr>
          <w:rFonts w:ascii="Arial" w:hAnsi="Arial"/>
          <w:b/>
          <w:bCs/>
          <w:sz w:val="22"/>
          <w:szCs w:val="22"/>
          <w:lang w:val="es-ES_tradnl"/>
        </w:rPr>
        <w:t xml:space="preserve">COI </w:t>
      </w:r>
      <w:r w:rsidR="00C108B8" w:rsidRPr="00095152">
        <w:rPr>
          <w:rFonts w:ascii="Arial" w:hAnsi="Arial"/>
          <w:sz w:val="22"/>
          <w:szCs w:val="22"/>
          <w:lang w:val="es-ES_tradnl"/>
        </w:rPr>
        <w:t>es “</w:t>
      </w:r>
      <w:r w:rsidR="00C108B8" w:rsidRPr="00095152">
        <w:rPr>
          <w:rFonts w:ascii="Arial" w:hAnsi="Arial"/>
          <w:i/>
          <w:iCs/>
          <w:sz w:val="22"/>
          <w:szCs w:val="22"/>
          <w:lang w:val="es-ES_tradnl"/>
        </w:rPr>
        <w:t>fomentar la cooperación internacional y coordinar programas en la investigación, los servicios y la creación de capacidad, a fin de conocer mejor la naturaleza y los recursos del océano y los procesos marinos de zonas costeras, y aplicar ese conocimiento para mejorar la gestión, el desarrollo sostenible, la protección del medio marino y el proceso de adopción de decisiones de sus Estados Miembros</w:t>
      </w:r>
      <w:r w:rsidR="00C108B8" w:rsidRPr="00095152">
        <w:rPr>
          <w:rFonts w:ascii="Arial" w:hAnsi="Arial"/>
          <w:sz w:val="22"/>
          <w:szCs w:val="22"/>
          <w:lang w:val="es-ES_tradnl"/>
        </w:rPr>
        <w:t>”. Los objetivos de alto nivel de la COI son los siguientes:</w:t>
      </w:r>
    </w:p>
    <w:p w14:paraId="7929C496" w14:textId="2D66042B"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Ecosistemas oceánicos saludables y mantenimiento de los servicios de los ecosistemas</w:t>
      </w:r>
    </w:p>
    <w:p w14:paraId="5267B7AF" w14:textId="1079D827"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Sistemas de alerta temprana eficaces y preparación para tsunamis y otros </w:t>
      </w:r>
      <w:r w:rsidR="00C63772" w:rsidRPr="00095152">
        <w:rPr>
          <w:rFonts w:ascii="Arial" w:hAnsi="Arial"/>
          <w:sz w:val="22"/>
          <w:szCs w:val="22"/>
          <w:lang w:val="es-ES_tradnl"/>
        </w:rPr>
        <w:t>peligros relacionados</w:t>
      </w:r>
      <w:r w:rsidR="00C108B8" w:rsidRPr="00095152">
        <w:rPr>
          <w:rFonts w:ascii="Arial" w:hAnsi="Arial"/>
          <w:sz w:val="22"/>
          <w:szCs w:val="22"/>
          <w:lang w:val="es-ES_tradnl"/>
        </w:rPr>
        <w:t xml:space="preserve"> con los océanos</w:t>
      </w:r>
    </w:p>
    <w:p w14:paraId="6FFEA4E4" w14:textId="0849C0E5"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Resiliencia al cambio climático y contribución a la mitigación de sus efectos</w:t>
      </w:r>
    </w:p>
    <w:p w14:paraId="1708A362" w14:textId="7476AFF8"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Servicios fundados en datos científicos para el desarrollo de la economía </w:t>
      </w:r>
      <w:r w:rsidR="00C63772" w:rsidRPr="00095152">
        <w:rPr>
          <w:rFonts w:ascii="Arial" w:hAnsi="Arial"/>
          <w:sz w:val="22"/>
          <w:szCs w:val="22"/>
          <w:lang w:val="es-ES_tradnl"/>
        </w:rPr>
        <w:t>oceánica sostenible</w:t>
      </w:r>
    </w:p>
    <w:p w14:paraId="4170B773" w14:textId="746C293B"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Previsión de cuestiones nuevas </w:t>
      </w:r>
      <w:r w:rsidR="00E4462A" w:rsidRPr="00095152">
        <w:rPr>
          <w:rFonts w:ascii="Arial" w:hAnsi="Arial"/>
          <w:sz w:val="22"/>
          <w:szCs w:val="22"/>
          <w:lang w:val="es-ES_tradnl"/>
        </w:rPr>
        <w:t>en materia de</w:t>
      </w:r>
      <w:r w:rsidR="00C108B8" w:rsidRPr="00095152">
        <w:rPr>
          <w:rFonts w:ascii="Arial" w:hAnsi="Arial"/>
          <w:sz w:val="22"/>
          <w:szCs w:val="22"/>
          <w:lang w:val="es-ES_tradnl"/>
        </w:rPr>
        <w:t xml:space="preserve"> ciencia oceánica</w:t>
      </w:r>
    </w:p>
    <w:p w14:paraId="1C3A903F" w14:textId="18B1B4A7" w:rsidR="00C108B8" w:rsidRPr="00095152" w:rsidRDefault="00A73666" w:rsidP="00095152">
      <w:pPr>
        <w:tabs>
          <w:tab w:val="clear" w:pos="1134"/>
          <w:tab w:val="left" w:pos="567"/>
        </w:tabs>
        <w:snapToGrid w:val="0"/>
        <w:spacing w:after="240"/>
        <w:rPr>
          <w:rFonts w:ascii="Arial" w:hAnsi="Arial"/>
          <w:color w:val="000000"/>
          <w:sz w:val="22"/>
          <w:szCs w:val="22"/>
          <w:lang w:val="es-ES_tradnl"/>
        </w:rPr>
      </w:pPr>
      <w:r w:rsidRPr="00095152">
        <w:rPr>
          <w:rFonts w:ascii="Arial" w:hAnsi="Arial"/>
          <w:bCs/>
          <w:iCs/>
          <w:color w:val="000000"/>
          <w:sz w:val="22"/>
          <w:szCs w:val="22"/>
          <w:lang w:val="es-ES_tradnl"/>
        </w:rPr>
        <w:t>9.</w:t>
      </w:r>
      <w:r w:rsidRPr="00095152">
        <w:rPr>
          <w:rFonts w:ascii="Arial" w:hAnsi="Arial"/>
          <w:bCs/>
          <w:iCs/>
          <w:color w:val="000000"/>
          <w:sz w:val="22"/>
          <w:szCs w:val="22"/>
          <w:lang w:val="es-ES_tradnl"/>
        </w:rPr>
        <w:tab/>
      </w:r>
      <w:r w:rsidR="00C108B8" w:rsidRPr="00095152">
        <w:rPr>
          <w:rFonts w:ascii="Arial" w:hAnsi="Arial"/>
          <w:sz w:val="22"/>
          <w:szCs w:val="22"/>
          <w:lang w:val="es-ES_tradnl"/>
        </w:rPr>
        <w:t>La misión del Decenio del Océano, que la COI coordina en nombre del sistema de las Naciones Unidas, es “</w:t>
      </w:r>
      <w:r w:rsidR="00C108B8" w:rsidRPr="00095152">
        <w:rPr>
          <w:rFonts w:ascii="Arial" w:hAnsi="Arial"/>
          <w:i/>
          <w:iCs/>
          <w:sz w:val="22"/>
          <w:szCs w:val="22"/>
          <w:lang w:val="es-ES_tradnl"/>
        </w:rPr>
        <w:t>impulsar soluciones transformadoras de ciencias oceánicas para el desarrollo sostenible, conectando a las personas con nuestro océano</w:t>
      </w:r>
      <w:r w:rsidR="00C108B8" w:rsidRPr="00095152">
        <w:rPr>
          <w:rFonts w:ascii="Arial" w:hAnsi="Arial"/>
          <w:sz w:val="22"/>
          <w:szCs w:val="22"/>
          <w:lang w:val="es-ES_tradnl"/>
        </w:rPr>
        <w:t>”.</w:t>
      </w:r>
    </w:p>
    <w:p w14:paraId="0DBC6FB8" w14:textId="6B851124"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10.</w:t>
      </w:r>
      <w:r w:rsidRPr="00095152">
        <w:rPr>
          <w:rFonts w:ascii="Arial" w:hAnsi="Arial"/>
          <w:bCs/>
          <w:iCs/>
          <w:sz w:val="22"/>
          <w:szCs w:val="22"/>
          <w:lang w:val="es-ES_tradnl"/>
        </w:rPr>
        <w:tab/>
      </w:r>
      <w:r w:rsidR="00C108B8" w:rsidRPr="00095152">
        <w:rPr>
          <w:rFonts w:ascii="Arial" w:hAnsi="Arial"/>
          <w:sz w:val="22"/>
          <w:szCs w:val="22"/>
          <w:lang w:val="es-ES_tradnl"/>
        </w:rPr>
        <w:t xml:space="preserve">La misión de la </w:t>
      </w:r>
      <w:r w:rsidR="00C108B8" w:rsidRPr="00095152">
        <w:rPr>
          <w:rFonts w:ascii="Arial" w:hAnsi="Arial"/>
          <w:b/>
          <w:bCs/>
          <w:sz w:val="22"/>
          <w:szCs w:val="22"/>
          <w:lang w:val="es-ES_tradnl"/>
        </w:rPr>
        <w:t xml:space="preserve">OMM </w:t>
      </w:r>
      <w:r w:rsidR="00C108B8" w:rsidRPr="00095152">
        <w:rPr>
          <w:rFonts w:ascii="Arial" w:hAnsi="Arial"/>
          <w:sz w:val="22"/>
          <w:szCs w:val="22"/>
          <w:lang w:val="es-ES_tradnl"/>
        </w:rPr>
        <w:t>consiste en “</w:t>
      </w:r>
      <w:r w:rsidR="00C108B8" w:rsidRPr="00095152">
        <w:rPr>
          <w:rFonts w:ascii="Arial" w:hAnsi="Arial"/>
          <w:i/>
          <w:iCs/>
          <w:sz w:val="22"/>
          <w:szCs w:val="22"/>
          <w:lang w:val="es-ES_tradnl"/>
        </w:rPr>
        <w:t xml:space="preserve">facilitar la cooperación mundial en materia de vigilancia y predicción de los cambios en las condiciones meteorológicas, climáticas, hidrológicas y </w:t>
      </w:r>
      <w:r w:rsidR="00C108B8" w:rsidRPr="00095152">
        <w:rPr>
          <w:rFonts w:ascii="Arial" w:hAnsi="Arial"/>
          <w:i/>
          <w:iCs/>
          <w:sz w:val="22"/>
          <w:szCs w:val="22"/>
          <w:lang w:val="es-ES_tradnl"/>
        </w:rPr>
        <w:lastRenderedPageBreak/>
        <w:t>medioambientales a través del intercambio de datos, información y servicios, la normalización, las aplicaciones, y las actividades de investigación y formación</w:t>
      </w:r>
      <w:r w:rsidR="00C108B8" w:rsidRPr="00095152">
        <w:rPr>
          <w:rFonts w:ascii="Arial" w:hAnsi="Arial"/>
          <w:sz w:val="22"/>
          <w:szCs w:val="22"/>
          <w:lang w:val="es-ES_tradnl"/>
        </w:rPr>
        <w:t xml:space="preserve">”. La OMM es el portavoz autorizado sobre el estado y el comportamiento de la atmósfera de la Tierra, su interacción con la tierra y el océano, el tiempo y el clima que genera, y la consiguiente distribución de los recursos hídricos. Las metas a largo plazo y los objetivos estratégicos de la OMM </w:t>
      </w:r>
      <w:r w:rsidR="00251083" w:rsidRPr="00095152">
        <w:rPr>
          <w:rFonts w:ascii="Arial" w:hAnsi="Arial"/>
          <w:sz w:val="22"/>
          <w:szCs w:val="22"/>
          <w:lang w:val="es-ES_tradnl"/>
        </w:rPr>
        <w:t xml:space="preserve">se basan en </w:t>
      </w:r>
      <w:r w:rsidR="00C108B8" w:rsidRPr="00095152">
        <w:rPr>
          <w:rFonts w:ascii="Arial" w:hAnsi="Arial"/>
          <w:sz w:val="22"/>
          <w:szCs w:val="22"/>
          <w:lang w:val="es-ES_tradnl"/>
        </w:rPr>
        <w:t xml:space="preserve">un enfoque global del sistema Tierra, con especial hincapié en los recursos hídricos y el océano. Las metas a largo plazo de la OMM incluyen las siguientes: </w:t>
      </w:r>
    </w:p>
    <w:p w14:paraId="1116AD7A" w14:textId="327D3784"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Mejora de la atención de las necesidades de la sociedad </w:t>
      </w:r>
    </w:p>
    <w:p w14:paraId="2E09EDAC" w14:textId="40B31D70"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Mejora de las observaciones y las predicciones del sistema Tierra </w:t>
      </w:r>
    </w:p>
    <w:p w14:paraId="4DEFBCD8" w14:textId="0804F18B"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Promoción de las investigaciones específicas </w:t>
      </w:r>
    </w:p>
    <w:p w14:paraId="012C90C0" w14:textId="5196248C"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Eliminación de las deficiencias de capacidad en los servicios meteorológicos, climáticos, hidrológicos y medioambientales conexos</w:t>
      </w:r>
    </w:p>
    <w:p w14:paraId="25B9C6E8" w14:textId="3D286421"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Reorientación estratégica de la estructura y los programas de la OMM en aras de unos procesos eficaces de formulación de políticas y adopción de decisiones y su correspondiente aplicación </w:t>
      </w:r>
    </w:p>
    <w:p w14:paraId="63106BC0" w14:textId="13F51B63" w:rsidR="00C108B8" w:rsidRPr="00095152" w:rsidRDefault="00A73666" w:rsidP="00095152">
      <w:pPr>
        <w:tabs>
          <w:tab w:val="clear" w:pos="1134"/>
          <w:tab w:val="left" w:pos="567"/>
        </w:tabs>
        <w:snapToGrid w:val="0"/>
        <w:spacing w:after="240"/>
        <w:rPr>
          <w:rFonts w:ascii="Arial" w:hAnsi="Arial"/>
          <w:color w:val="000000"/>
          <w:sz w:val="22"/>
          <w:szCs w:val="22"/>
          <w:lang w:val="es-ES_tradnl"/>
        </w:rPr>
      </w:pPr>
      <w:r w:rsidRPr="00095152">
        <w:rPr>
          <w:rFonts w:ascii="Arial" w:hAnsi="Arial"/>
          <w:bCs/>
          <w:iCs/>
          <w:color w:val="000000"/>
          <w:sz w:val="22"/>
          <w:szCs w:val="22"/>
          <w:lang w:val="es-ES_tradnl"/>
        </w:rPr>
        <w:t>11.</w:t>
      </w:r>
      <w:r w:rsidRPr="00095152">
        <w:rPr>
          <w:rFonts w:ascii="Arial" w:hAnsi="Arial"/>
          <w:bCs/>
          <w:iCs/>
          <w:color w:val="000000"/>
          <w:sz w:val="22"/>
          <w:szCs w:val="22"/>
          <w:lang w:val="es-ES_tradnl"/>
        </w:rPr>
        <w:tab/>
      </w:r>
      <w:r w:rsidR="00002EAC" w:rsidRPr="00095152">
        <w:rPr>
          <w:rFonts w:ascii="Arial" w:hAnsi="Arial"/>
          <w:sz w:val="22"/>
          <w:szCs w:val="22"/>
          <w:lang w:val="es-ES_tradnl"/>
        </w:rPr>
        <w:t xml:space="preserve">Las dos </w:t>
      </w:r>
      <w:r w:rsidR="00C108B8" w:rsidRPr="00095152">
        <w:rPr>
          <w:rFonts w:ascii="Arial" w:hAnsi="Arial"/>
          <w:sz w:val="22"/>
          <w:szCs w:val="22"/>
          <w:lang w:val="es-ES_tradnl"/>
        </w:rPr>
        <w:t>organizaciones tienen una misión complementaria en materia de cooperación internacional, en ámbitos estrechamente relacionados. Comparten objetivos comunes, ya que</w:t>
      </w:r>
      <w:r w:rsidR="001B74D5" w:rsidRPr="00095152">
        <w:rPr>
          <w:rFonts w:ascii="Arial" w:hAnsi="Arial"/>
          <w:sz w:val="22"/>
          <w:szCs w:val="22"/>
          <w:lang w:val="es-ES_tradnl"/>
        </w:rPr>
        <w:t xml:space="preserve"> la labor de</w:t>
      </w:r>
      <w:r w:rsidR="00C108B8" w:rsidRPr="00095152">
        <w:rPr>
          <w:rFonts w:ascii="Arial" w:hAnsi="Arial"/>
          <w:sz w:val="22"/>
          <w:szCs w:val="22"/>
          <w:lang w:val="es-ES_tradnl"/>
        </w:rPr>
        <w:t xml:space="preserve"> ambas se centra en los sistemas de alerta temprana de peligros, la comprensión y </w:t>
      </w:r>
      <w:r w:rsidR="006F6071" w:rsidRPr="00095152">
        <w:rPr>
          <w:rFonts w:ascii="Arial" w:hAnsi="Arial"/>
          <w:sz w:val="22"/>
          <w:szCs w:val="22"/>
          <w:lang w:val="es-ES_tradnl"/>
        </w:rPr>
        <w:t>el monitoreo</w:t>
      </w:r>
      <w:r w:rsidR="00C108B8" w:rsidRPr="00095152">
        <w:rPr>
          <w:rFonts w:ascii="Arial" w:hAnsi="Arial"/>
          <w:sz w:val="22"/>
          <w:szCs w:val="22"/>
          <w:lang w:val="es-ES_tradnl"/>
        </w:rPr>
        <w:t xml:space="preserve"> de partes del sistema Tierra, la resiliencia al cambio climático y la variabilidad del clima, las observaciones, la investigación y el desarrollo de capacidad. Sus divergencias radican en el ámbito temático. El solapamiento de los componentes oceánicos entre ambas, al ser el océano parte integrante del sistema Tierra, crea la base de una asociación simbiótica. </w:t>
      </w:r>
    </w:p>
    <w:p w14:paraId="0802964F" w14:textId="6046368B" w:rsidR="00C108B8" w:rsidRPr="00095152" w:rsidRDefault="0011124C" w:rsidP="00095152">
      <w:pPr>
        <w:pStyle w:val="Heading2"/>
        <w:snapToGrid w:val="0"/>
        <w:spacing w:before="0" w:after="240"/>
        <w:jc w:val="both"/>
        <w:rPr>
          <w:rFonts w:ascii="Arial" w:hAnsi="Arial" w:cs="Arial"/>
        </w:rPr>
      </w:pPr>
      <w:r w:rsidRPr="00095152">
        <w:rPr>
          <w:rFonts w:ascii="Arial" w:hAnsi="Arial" w:cs="Arial"/>
        </w:rPr>
        <w:t>F</w:t>
      </w:r>
      <w:r w:rsidR="00C108B8" w:rsidRPr="00095152">
        <w:rPr>
          <w:rFonts w:ascii="Arial" w:hAnsi="Arial" w:cs="Arial"/>
        </w:rPr>
        <w:t xml:space="preserve">actores </w:t>
      </w:r>
      <w:r w:rsidRPr="00095152">
        <w:rPr>
          <w:rFonts w:ascii="Arial" w:hAnsi="Arial" w:cs="Arial"/>
        </w:rPr>
        <w:t>claves</w:t>
      </w:r>
    </w:p>
    <w:p w14:paraId="664CFF8E" w14:textId="2E2348BF"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12.</w:t>
      </w:r>
      <w:r w:rsidRPr="00095152">
        <w:rPr>
          <w:rFonts w:ascii="Arial" w:hAnsi="Arial"/>
          <w:bCs/>
          <w:iCs/>
          <w:sz w:val="22"/>
          <w:szCs w:val="22"/>
          <w:lang w:val="es-ES_tradnl"/>
        </w:rPr>
        <w:tab/>
      </w:r>
      <w:r w:rsidR="00C108B8" w:rsidRPr="00095152">
        <w:rPr>
          <w:rFonts w:ascii="Arial" w:hAnsi="Arial"/>
          <w:sz w:val="22"/>
          <w:szCs w:val="22"/>
          <w:lang w:val="es-ES_tradnl"/>
        </w:rPr>
        <w:t>La OMM y la COI reconocen conjuntamente los siguientes factores sociales clave</w:t>
      </w:r>
      <w:r w:rsidR="00A960FA" w:rsidRPr="00095152">
        <w:rPr>
          <w:rFonts w:ascii="Arial" w:hAnsi="Arial"/>
          <w:sz w:val="22"/>
          <w:szCs w:val="22"/>
          <w:lang w:val="es-ES_tradnl"/>
        </w:rPr>
        <w:t>s</w:t>
      </w:r>
      <w:r w:rsidR="00C108B8" w:rsidRPr="00095152">
        <w:rPr>
          <w:rFonts w:ascii="Arial" w:hAnsi="Arial"/>
          <w:sz w:val="22"/>
          <w:szCs w:val="22"/>
          <w:lang w:val="es-ES_tradnl"/>
        </w:rPr>
        <w:t xml:space="preserve"> en relación con los riesgos, la economía y el desarrollo sostenible: </w:t>
      </w:r>
    </w:p>
    <w:p w14:paraId="32F4E6E5" w14:textId="51779A6F"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El nivel de acierto de las predicciones meteorológicas a medio y largo plazo mejora con la inclusión de datos oceánicos en los modelos de predicción atmosféricos y oceánicos acoplados.</w:t>
      </w:r>
    </w:p>
    <w:p w14:paraId="784A9FC7" w14:textId="07F15C89"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Las consecuencias de los fenómenos meteorológicos, hidrológicos y climáticos extremos de alto impacto son devastadoras para la seguridad de las personas, las economías nacionales, los entornos urbanos y rurales, y la seguridad alimentaria e hídrica. Según el Grupo Intergubernamental de Expertos sobre el Cambio Climático (IPCC) de la OMM y el Programa de las Naciones Unidas para el Medio Ambiente (PNUMA), las predicciones apuntan a una mayor frecuencia e intensidad de esos fenómenos extremos en un contexto de aumento continuado de las concentraciones de gases de efecto invernadero.</w:t>
      </w:r>
    </w:p>
    <w:p w14:paraId="61E08529" w14:textId="37EC8685"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La variabilidad del clima y el cambio climático afectan a muchos elementos de los que depende el bienestar de las personas. Modifican la distribución de las lluvias y las sequías, el nivel del mar y la erosión costera. Los cambios de temperatura y la desoxigenación y acidificación de los océanos añaden estrés a los ecosistemas y perjudican los bienes y servicios que proporcionan.</w:t>
      </w:r>
    </w:p>
    <w:p w14:paraId="7D615713" w14:textId="67E42F03"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lastRenderedPageBreak/>
        <w:t>●</w:t>
      </w:r>
      <w:r w:rsidRPr="00095152">
        <w:rPr>
          <w:rFonts w:ascii="Arial" w:hAnsi="Arial"/>
          <w:sz w:val="22"/>
          <w:szCs w:val="22"/>
          <w:lang w:val="es-ES_tradnl"/>
        </w:rPr>
        <w:tab/>
      </w:r>
      <w:r w:rsidR="00C108B8" w:rsidRPr="00095152">
        <w:rPr>
          <w:rFonts w:ascii="Arial" w:hAnsi="Arial"/>
          <w:sz w:val="22"/>
          <w:szCs w:val="22"/>
          <w:lang w:val="es-ES_tradnl"/>
        </w:rPr>
        <w:t xml:space="preserve">El desarrollo costero se mantiene a un ritmo acelerado, lo que aumenta la exposición de la sociedad a los peligros relacionados con el océano y los riesgos que conllevan. </w:t>
      </w:r>
    </w:p>
    <w:p w14:paraId="1A56644C" w14:textId="4482C59F"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De acuerdo con estimaciones de la Organización para la Cooperación y el Desarrollo Económicos (OCDE), en 2010 la economía de los océanos generó 1,5 billones de dólares de los Estados Unidos y, en función de las trayectorias del cambio climático, tiene el potencial de superar la tasa de crecimiento de la economía mundial. El conocimiento y la información sobre el océano, el tiempo, el clima y el agua son esenciales para generar beneficios y puestos de trabajo, proteger los medios de vida y desarrollar la economía del océano de forma sostenible.</w:t>
      </w:r>
    </w:p>
    <w:p w14:paraId="7F527CC4" w14:textId="73F621FC"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El océano es una posible fuente de soluciones para la mitigación del cambio climático y para muchas dimensiones de una economía oceánica sostenible. Los servicios climáticos pueden añadir un valor considerable a la eficiencia de la gestión integrada de los océanos.</w:t>
      </w:r>
    </w:p>
    <w:p w14:paraId="1A895E25" w14:textId="77777777" w:rsidR="00C108B8" w:rsidRPr="00095152" w:rsidRDefault="00C108B8" w:rsidP="00095152">
      <w:pPr>
        <w:pStyle w:val="Heading2"/>
        <w:snapToGrid w:val="0"/>
        <w:spacing w:before="0" w:after="240"/>
        <w:jc w:val="both"/>
        <w:rPr>
          <w:rFonts w:ascii="Arial" w:hAnsi="Arial" w:cs="Arial"/>
        </w:rPr>
      </w:pPr>
      <w:r w:rsidRPr="00095152">
        <w:rPr>
          <w:rFonts w:ascii="Arial" w:hAnsi="Arial" w:cs="Arial"/>
        </w:rPr>
        <w:t>Oportunidades generales</w:t>
      </w:r>
    </w:p>
    <w:p w14:paraId="22ED7D7F" w14:textId="1C729CCD"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13.</w:t>
      </w:r>
      <w:r w:rsidRPr="00095152">
        <w:rPr>
          <w:rFonts w:ascii="Arial" w:hAnsi="Arial"/>
          <w:bCs/>
          <w:iCs/>
          <w:sz w:val="22"/>
          <w:szCs w:val="22"/>
          <w:lang w:val="es-ES_tradnl"/>
        </w:rPr>
        <w:tab/>
      </w:r>
      <w:r w:rsidR="00C108B8" w:rsidRPr="00095152">
        <w:rPr>
          <w:rFonts w:ascii="Arial" w:hAnsi="Arial"/>
          <w:sz w:val="22"/>
          <w:szCs w:val="22"/>
          <w:lang w:val="es-ES_tradnl"/>
        </w:rPr>
        <w:t xml:space="preserve">La COI y la OMM ya </w:t>
      </w:r>
      <w:r w:rsidR="00C27205" w:rsidRPr="00095152">
        <w:rPr>
          <w:rFonts w:ascii="Arial" w:hAnsi="Arial"/>
          <w:sz w:val="22"/>
          <w:szCs w:val="22"/>
          <w:lang w:val="es-ES_tradnl"/>
        </w:rPr>
        <w:t>cuentan con</w:t>
      </w:r>
      <w:r w:rsidR="00C108B8" w:rsidRPr="00095152">
        <w:rPr>
          <w:rFonts w:ascii="Arial" w:hAnsi="Arial"/>
          <w:sz w:val="22"/>
          <w:szCs w:val="22"/>
          <w:lang w:val="es-ES_tradnl"/>
        </w:rPr>
        <w:t xml:space="preserve"> una sólida </w:t>
      </w:r>
      <w:r w:rsidR="009B43C8" w:rsidRPr="00095152">
        <w:rPr>
          <w:rFonts w:ascii="Arial" w:hAnsi="Arial"/>
          <w:sz w:val="22"/>
          <w:szCs w:val="22"/>
          <w:lang w:val="es-ES_tradnl"/>
        </w:rPr>
        <w:t>tradición</w:t>
      </w:r>
      <w:r w:rsidR="00C108B8" w:rsidRPr="00095152">
        <w:rPr>
          <w:rFonts w:ascii="Arial" w:hAnsi="Arial"/>
          <w:sz w:val="22"/>
          <w:szCs w:val="22"/>
          <w:lang w:val="es-ES_tradnl"/>
        </w:rPr>
        <w:t xml:space="preserve"> de colaboración. A partir de </w:t>
      </w:r>
      <w:r w:rsidR="0088131F" w:rsidRPr="00095152">
        <w:rPr>
          <w:rFonts w:ascii="Arial" w:hAnsi="Arial"/>
          <w:sz w:val="22"/>
          <w:szCs w:val="22"/>
          <w:lang w:val="es-ES_tradnl"/>
        </w:rPr>
        <w:t>esa base</w:t>
      </w:r>
      <w:r w:rsidR="00C108B8" w:rsidRPr="00095152">
        <w:rPr>
          <w:rFonts w:ascii="Arial" w:hAnsi="Arial"/>
          <w:sz w:val="22"/>
          <w:szCs w:val="22"/>
          <w:lang w:val="es-ES_tradnl"/>
        </w:rPr>
        <w:t xml:space="preserve">, existe la oportunidad de reforzar esta asociación en las actividades existentes y nuevas y en el contexto de un enfoque del sistema Tierra, </w:t>
      </w:r>
      <w:r w:rsidR="002867F7" w:rsidRPr="00095152">
        <w:rPr>
          <w:rFonts w:ascii="Arial" w:hAnsi="Arial"/>
          <w:sz w:val="22"/>
          <w:szCs w:val="22"/>
          <w:lang w:val="es-ES_tradnl"/>
        </w:rPr>
        <w:t xml:space="preserve">dando respuesta </w:t>
      </w:r>
      <w:r w:rsidR="00C108B8" w:rsidRPr="00095152">
        <w:rPr>
          <w:rFonts w:ascii="Arial" w:hAnsi="Arial"/>
          <w:sz w:val="22"/>
          <w:szCs w:val="22"/>
          <w:lang w:val="es-ES_tradnl"/>
        </w:rPr>
        <w:t>a los factores sociales</w:t>
      </w:r>
      <w:r w:rsidR="002867F7" w:rsidRPr="00095152">
        <w:rPr>
          <w:rFonts w:ascii="Arial" w:hAnsi="Arial"/>
          <w:sz w:val="22"/>
          <w:szCs w:val="22"/>
          <w:lang w:val="es-ES_tradnl"/>
        </w:rPr>
        <w:t xml:space="preserve"> claves</w:t>
      </w:r>
      <w:r w:rsidR="00C108B8" w:rsidRPr="00095152">
        <w:rPr>
          <w:rFonts w:ascii="Arial" w:hAnsi="Arial"/>
          <w:sz w:val="22"/>
          <w:szCs w:val="22"/>
          <w:lang w:val="es-ES_tradnl"/>
        </w:rPr>
        <w:t xml:space="preserve">. El rápido progreso de la ciencia y la tecnología ofrece la oportunidad de que la OMM y la COI colaboren para mejorar los servicios interdisciplinarios y lograr que sean más accesibles para los países en desarrollo. </w:t>
      </w:r>
      <w:r w:rsidR="00FD5FBE" w:rsidRPr="00095152">
        <w:rPr>
          <w:rFonts w:ascii="Arial" w:hAnsi="Arial"/>
          <w:sz w:val="22"/>
          <w:szCs w:val="22"/>
          <w:lang w:val="es-ES_tradnl"/>
        </w:rPr>
        <w:t xml:space="preserve">La </w:t>
      </w:r>
      <w:r w:rsidR="00C2747C" w:rsidRPr="00095152">
        <w:rPr>
          <w:rFonts w:ascii="Arial" w:hAnsi="Arial"/>
          <w:sz w:val="22"/>
          <w:szCs w:val="22"/>
          <w:lang w:val="es-ES_tradnl"/>
        </w:rPr>
        <w:t xml:space="preserve">prestación </w:t>
      </w:r>
      <w:r w:rsidR="00FD5FBE" w:rsidRPr="00095152">
        <w:rPr>
          <w:rFonts w:ascii="Arial" w:hAnsi="Arial"/>
          <w:sz w:val="22"/>
          <w:szCs w:val="22"/>
          <w:lang w:val="es-ES_tradnl"/>
        </w:rPr>
        <w:t xml:space="preserve">de </w:t>
      </w:r>
      <w:r w:rsidR="00C108B8" w:rsidRPr="00095152">
        <w:rPr>
          <w:rFonts w:ascii="Arial" w:hAnsi="Arial"/>
          <w:sz w:val="22"/>
          <w:szCs w:val="22"/>
          <w:lang w:val="es-ES_tradnl"/>
        </w:rPr>
        <w:t xml:space="preserve">servicios meteorológicos, hidrológicos, oceánicos y climáticos avanzados contribuye a </w:t>
      </w:r>
      <w:r w:rsidR="003B0A3D" w:rsidRPr="00095152">
        <w:rPr>
          <w:rFonts w:ascii="Arial" w:hAnsi="Arial"/>
          <w:sz w:val="22"/>
          <w:szCs w:val="22"/>
          <w:lang w:val="es-ES_tradnl"/>
        </w:rPr>
        <w:t>la</w:t>
      </w:r>
      <w:r w:rsidR="00C108B8" w:rsidRPr="00095152">
        <w:rPr>
          <w:rFonts w:ascii="Arial" w:hAnsi="Arial"/>
          <w:sz w:val="22"/>
          <w:szCs w:val="22"/>
          <w:lang w:val="es-ES_tradnl"/>
        </w:rPr>
        <w:t xml:space="preserve"> planificación y </w:t>
      </w:r>
      <w:r w:rsidR="003B0A3D" w:rsidRPr="00095152">
        <w:rPr>
          <w:rFonts w:ascii="Arial" w:hAnsi="Arial"/>
          <w:sz w:val="22"/>
          <w:szCs w:val="22"/>
          <w:lang w:val="es-ES_tradnl"/>
        </w:rPr>
        <w:t xml:space="preserve">la </w:t>
      </w:r>
      <w:r w:rsidR="00C108B8" w:rsidRPr="00095152">
        <w:rPr>
          <w:rFonts w:ascii="Arial" w:hAnsi="Arial"/>
          <w:sz w:val="22"/>
          <w:szCs w:val="22"/>
          <w:lang w:val="es-ES_tradnl"/>
        </w:rPr>
        <w:t>adopción de decisiones oportun</w:t>
      </w:r>
      <w:r w:rsidR="003B0A3D" w:rsidRPr="00095152">
        <w:rPr>
          <w:rFonts w:ascii="Arial" w:hAnsi="Arial"/>
          <w:sz w:val="22"/>
          <w:szCs w:val="22"/>
          <w:lang w:val="es-ES_tradnl"/>
        </w:rPr>
        <w:t>a</w:t>
      </w:r>
      <w:r w:rsidR="00C108B8" w:rsidRPr="00095152">
        <w:rPr>
          <w:rFonts w:ascii="Arial" w:hAnsi="Arial"/>
          <w:sz w:val="22"/>
          <w:szCs w:val="22"/>
          <w:lang w:val="es-ES_tradnl"/>
        </w:rPr>
        <w:t xml:space="preserve">s y eficaces que, a su vez, </w:t>
      </w:r>
      <w:r w:rsidR="00FD5FBE" w:rsidRPr="00095152">
        <w:rPr>
          <w:rFonts w:ascii="Arial" w:hAnsi="Arial"/>
          <w:sz w:val="22"/>
          <w:szCs w:val="22"/>
          <w:lang w:val="es-ES_tradnl"/>
        </w:rPr>
        <w:t>redundan en</w:t>
      </w:r>
      <w:r w:rsidR="00C108B8" w:rsidRPr="00095152">
        <w:rPr>
          <w:rFonts w:ascii="Arial" w:hAnsi="Arial"/>
          <w:sz w:val="22"/>
          <w:szCs w:val="22"/>
          <w:lang w:val="es-ES_tradnl"/>
        </w:rPr>
        <w:t xml:space="preserve"> mayores beneficios socioeconómicos. </w:t>
      </w:r>
    </w:p>
    <w:p w14:paraId="0BF432A1" w14:textId="05D1A8B4" w:rsidR="00C108B8" w:rsidRPr="00095152" w:rsidRDefault="00A73666" w:rsidP="00095152">
      <w:pPr>
        <w:tabs>
          <w:tab w:val="clear" w:pos="1134"/>
          <w:tab w:val="left" w:pos="567"/>
        </w:tabs>
        <w:snapToGrid w:val="0"/>
        <w:spacing w:after="240"/>
        <w:rPr>
          <w:rFonts w:ascii="Arial" w:hAnsi="Arial"/>
          <w:bCs/>
          <w:iCs/>
          <w:color w:val="000000"/>
          <w:sz w:val="22"/>
          <w:szCs w:val="22"/>
          <w:lang w:val="es-ES_tradnl"/>
        </w:rPr>
      </w:pPr>
      <w:r w:rsidRPr="00095152">
        <w:rPr>
          <w:rFonts w:ascii="Arial" w:hAnsi="Arial"/>
          <w:bCs/>
          <w:iCs/>
          <w:color w:val="000000"/>
          <w:sz w:val="22"/>
          <w:szCs w:val="22"/>
          <w:lang w:val="es-ES_tradnl"/>
        </w:rPr>
        <w:t>14.</w:t>
      </w:r>
      <w:r w:rsidRPr="00095152">
        <w:rPr>
          <w:rFonts w:ascii="Arial" w:hAnsi="Arial"/>
          <w:bCs/>
          <w:iCs/>
          <w:color w:val="000000"/>
          <w:sz w:val="22"/>
          <w:szCs w:val="22"/>
          <w:lang w:val="es-ES_tradnl"/>
        </w:rPr>
        <w:tab/>
      </w:r>
      <w:r w:rsidR="00C108B8" w:rsidRPr="00095152">
        <w:rPr>
          <w:rFonts w:ascii="Arial" w:hAnsi="Arial"/>
          <w:sz w:val="22"/>
          <w:szCs w:val="22"/>
          <w:lang w:val="es-ES_tradnl"/>
        </w:rPr>
        <w:t xml:space="preserve">Asimismo, a medida que surjan nuevas formas de medición y nuevos usos de esas mediciones, los Estados Miembros de la COI y los Miembros de la OMM dependerán cada vez más de nuestras organizaciones para obtener esa información. </w:t>
      </w:r>
      <w:r w:rsidR="00AD2693" w:rsidRPr="00095152">
        <w:rPr>
          <w:rFonts w:ascii="Arial" w:hAnsi="Arial"/>
          <w:sz w:val="22"/>
          <w:szCs w:val="22"/>
          <w:lang w:val="es-ES_tradnl"/>
        </w:rPr>
        <w:t xml:space="preserve"> </w:t>
      </w:r>
      <w:r w:rsidR="009065B1" w:rsidRPr="00095152">
        <w:rPr>
          <w:rFonts w:ascii="Arial" w:hAnsi="Arial"/>
          <w:sz w:val="22"/>
          <w:szCs w:val="22"/>
          <w:lang w:val="es-ES_tradnl"/>
        </w:rPr>
        <w:t>Contribuir de forma</w:t>
      </w:r>
      <w:r w:rsidR="008B7703" w:rsidRPr="00095152">
        <w:rPr>
          <w:rFonts w:ascii="Arial" w:hAnsi="Arial"/>
          <w:sz w:val="22"/>
          <w:szCs w:val="22"/>
          <w:lang w:val="es-ES_tradnl"/>
        </w:rPr>
        <w:t xml:space="preserve"> conjunta al desarrollo</w:t>
      </w:r>
      <w:r w:rsidR="00C108B8" w:rsidRPr="00095152">
        <w:rPr>
          <w:rFonts w:ascii="Arial" w:hAnsi="Arial"/>
          <w:sz w:val="22"/>
          <w:szCs w:val="22"/>
          <w:lang w:val="es-ES_tradnl"/>
        </w:rPr>
        <w:t xml:space="preserve"> de los sistemas mundiales de observación y de predicción numérica del tiempo, los océanos y el clima, </w:t>
      </w:r>
      <w:r w:rsidR="00F47773" w:rsidRPr="00095152">
        <w:rPr>
          <w:rFonts w:ascii="Arial" w:hAnsi="Arial"/>
          <w:sz w:val="22"/>
          <w:szCs w:val="22"/>
          <w:lang w:val="es-ES_tradnl"/>
        </w:rPr>
        <w:t>incorporando</w:t>
      </w:r>
      <w:r w:rsidR="00C108B8" w:rsidRPr="00095152">
        <w:rPr>
          <w:rFonts w:ascii="Arial" w:hAnsi="Arial"/>
          <w:sz w:val="22"/>
          <w:szCs w:val="22"/>
          <w:lang w:val="es-ES_tradnl"/>
        </w:rPr>
        <w:t xml:space="preserve"> nuevos adelantos tecnológicos, </w:t>
      </w:r>
      <w:r w:rsidR="007A0ED1" w:rsidRPr="00095152">
        <w:rPr>
          <w:rFonts w:ascii="Arial" w:hAnsi="Arial"/>
          <w:sz w:val="22"/>
          <w:szCs w:val="22"/>
          <w:lang w:val="es-ES_tradnl"/>
        </w:rPr>
        <w:t xml:space="preserve">sentará </w:t>
      </w:r>
      <w:r w:rsidR="00C108B8" w:rsidRPr="00095152">
        <w:rPr>
          <w:rFonts w:ascii="Arial" w:hAnsi="Arial"/>
          <w:sz w:val="22"/>
          <w:szCs w:val="22"/>
          <w:lang w:val="es-ES_tradnl"/>
        </w:rPr>
        <w:t>la</w:t>
      </w:r>
      <w:r w:rsidR="007A0ED1" w:rsidRPr="00095152">
        <w:rPr>
          <w:rFonts w:ascii="Arial" w:hAnsi="Arial"/>
          <w:sz w:val="22"/>
          <w:szCs w:val="22"/>
          <w:lang w:val="es-ES_tradnl"/>
        </w:rPr>
        <w:t>s</w:t>
      </w:r>
      <w:r w:rsidR="00C108B8" w:rsidRPr="00095152">
        <w:rPr>
          <w:rFonts w:ascii="Arial" w:hAnsi="Arial"/>
          <w:sz w:val="22"/>
          <w:szCs w:val="22"/>
          <w:lang w:val="es-ES_tradnl"/>
        </w:rPr>
        <w:t xml:space="preserve"> base</w:t>
      </w:r>
      <w:r w:rsidR="007A0ED1" w:rsidRPr="00095152">
        <w:rPr>
          <w:rFonts w:ascii="Arial" w:hAnsi="Arial"/>
          <w:sz w:val="22"/>
          <w:szCs w:val="22"/>
          <w:lang w:val="es-ES_tradnl"/>
        </w:rPr>
        <w:t>s</w:t>
      </w:r>
      <w:r w:rsidR="00C108B8" w:rsidRPr="00095152">
        <w:rPr>
          <w:rFonts w:ascii="Arial" w:hAnsi="Arial"/>
          <w:sz w:val="22"/>
          <w:szCs w:val="22"/>
          <w:lang w:val="es-ES_tradnl"/>
        </w:rPr>
        <w:t xml:space="preserve"> para atender </w:t>
      </w:r>
      <w:r w:rsidR="00DD1C8A" w:rsidRPr="00095152">
        <w:rPr>
          <w:rFonts w:ascii="Arial" w:hAnsi="Arial"/>
          <w:sz w:val="22"/>
          <w:szCs w:val="22"/>
          <w:lang w:val="es-ES_tradnl"/>
        </w:rPr>
        <w:t xml:space="preserve">con eficacia </w:t>
      </w:r>
      <w:r w:rsidR="00C108B8" w:rsidRPr="00095152">
        <w:rPr>
          <w:rFonts w:ascii="Arial" w:hAnsi="Arial"/>
          <w:sz w:val="22"/>
          <w:szCs w:val="22"/>
          <w:lang w:val="es-ES_tradnl"/>
        </w:rPr>
        <w:t>a la necesidad cada vez mayor de decisiones influyentes relacionadas con una amplia gama de aplicaciones, que van desde la seguridad pública y el transporte hasta la agricultura, la energía, la salud y la gestión de los recursos hídricos.</w:t>
      </w:r>
    </w:p>
    <w:p w14:paraId="40B23096" w14:textId="665A51CB" w:rsidR="00C108B8" w:rsidRPr="00095152" w:rsidRDefault="00A73666" w:rsidP="00095152">
      <w:pPr>
        <w:pStyle w:val="ListParagraph"/>
        <w:tabs>
          <w:tab w:val="clear" w:pos="1134"/>
          <w:tab w:val="left" w:pos="567"/>
        </w:tabs>
        <w:snapToGrid w:val="0"/>
        <w:spacing w:after="240"/>
        <w:ind w:left="0"/>
        <w:contextualSpacing w:val="0"/>
        <w:rPr>
          <w:rFonts w:ascii="Arial" w:hAnsi="Arial"/>
          <w:i/>
          <w:sz w:val="22"/>
          <w:szCs w:val="22"/>
          <w:lang w:val="es-ES_tradnl"/>
        </w:rPr>
      </w:pPr>
      <w:r w:rsidRPr="00095152">
        <w:rPr>
          <w:rFonts w:ascii="Arial" w:hAnsi="Arial"/>
          <w:bCs/>
          <w:iCs/>
          <w:noProof/>
          <w:color w:val="000000"/>
          <w:sz w:val="22"/>
          <w:szCs w:val="22"/>
          <w:lang w:val="es-ES_tradnl"/>
        </w:rPr>
        <w:lastRenderedPageBreak/>
        <w:drawing>
          <wp:inline distT="0" distB="0" distL="0" distR="0" wp14:anchorId="733B1C20" wp14:editId="75EBCDCD">
            <wp:extent cx="6026400" cy="42120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73-d05-4-WMO-IOC-COLLABORATIVE-STRATEGY-Figures-draft2_es.jpg"/>
                    <pic:cNvPicPr/>
                  </pic:nvPicPr>
                  <pic:blipFill rotWithShape="1">
                    <a:blip r:embed="rId13"/>
                    <a:srcRect l="25988" t="16255" r="24719" b="22480"/>
                    <a:stretch/>
                  </pic:blipFill>
                  <pic:spPr bwMode="auto">
                    <a:xfrm>
                      <a:off x="0" y="0"/>
                      <a:ext cx="6026400" cy="4212000"/>
                    </a:xfrm>
                    <a:prstGeom prst="rect">
                      <a:avLst/>
                    </a:prstGeom>
                    <a:ln>
                      <a:noFill/>
                    </a:ln>
                    <a:extLst>
                      <a:ext uri="{53640926-AAD7-44D8-BBD7-CCE9431645EC}">
                        <a14:shadowObscured xmlns:a14="http://schemas.microsoft.com/office/drawing/2010/main"/>
                      </a:ext>
                    </a:extLst>
                  </pic:spPr>
                </pic:pic>
              </a:graphicData>
            </a:graphic>
          </wp:inline>
        </w:drawing>
      </w:r>
      <w:r w:rsidR="00C108B8" w:rsidRPr="00095152">
        <w:rPr>
          <w:rFonts w:ascii="Arial" w:hAnsi="Arial"/>
          <w:b/>
          <w:bCs/>
          <w:i/>
          <w:iCs/>
          <w:lang w:val="es-ES_tradnl"/>
        </w:rPr>
        <w:t>Figura</w:t>
      </w:r>
      <w:r w:rsidR="00C108B8" w:rsidRPr="00095152">
        <w:rPr>
          <w:rFonts w:ascii="Arial" w:hAnsi="Arial"/>
          <w:i/>
          <w:iCs/>
          <w:lang w:val="es-ES_tradnl"/>
        </w:rPr>
        <w:t>: Cadenas de valor (azul), ciclos de retroalimentación (verde) y facilitadores (anaranjado) en la infraestructura meteorológica y oceanográfica, la prestación de servicios y las interfaces de la</w:t>
      </w:r>
      <w:r w:rsidR="00C108B8" w:rsidRPr="00095152">
        <w:rPr>
          <w:rFonts w:ascii="Arial" w:hAnsi="Arial"/>
          <w:i/>
          <w:iCs/>
          <w:sz w:val="22"/>
          <w:szCs w:val="22"/>
          <w:lang w:val="es-ES_tradnl"/>
        </w:rPr>
        <w:t xml:space="preserve"> ciencia y la </w:t>
      </w:r>
      <w:r w:rsidR="00C108B8" w:rsidRPr="00095152">
        <w:rPr>
          <w:rFonts w:ascii="Arial" w:hAnsi="Arial"/>
          <w:i/>
          <w:iCs/>
          <w:lang w:val="es-ES_tradnl"/>
        </w:rPr>
        <w:t>política abarcadas en la presente estrategia de colaboración.</w:t>
      </w:r>
      <w:r w:rsidR="00C108B8" w:rsidRPr="00095152">
        <w:rPr>
          <w:rFonts w:ascii="Arial" w:hAnsi="Arial"/>
          <w:lang w:val="es-ES_tradnl"/>
        </w:rPr>
        <w:t xml:space="preserve"> </w:t>
      </w:r>
      <w:r w:rsidR="00C108B8" w:rsidRPr="00095152">
        <w:rPr>
          <w:rFonts w:ascii="Arial" w:hAnsi="Arial"/>
          <w:i/>
          <w:iCs/>
          <w:lang w:val="es-ES_tradnl"/>
        </w:rPr>
        <w:t xml:space="preserve">Mediante la labor estratégica mancomunada, la infraestructura será más integrada, interoperable y sin </w:t>
      </w:r>
      <w:r w:rsidR="002079D1" w:rsidRPr="00095152">
        <w:rPr>
          <w:rFonts w:ascii="Arial" w:hAnsi="Arial"/>
          <w:i/>
          <w:iCs/>
          <w:lang w:val="es-ES_tradnl"/>
        </w:rPr>
        <w:t>discontinuidad</w:t>
      </w:r>
      <w:r w:rsidR="00C108B8" w:rsidRPr="00095152">
        <w:rPr>
          <w:rFonts w:ascii="Arial" w:hAnsi="Arial"/>
          <w:i/>
          <w:iCs/>
          <w:lang w:val="es-ES_tradnl"/>
        </w:rPr>
        <w:t>, se fortalecerán los servicios operacionales, se promoverá la investigación innovadora interdisciplinaria y se transformarán las interfaces de la ciencia y la política (rojo).</w:t>
      </w:r>
      <w:r w:rsidR="00C108B8" w:rsidRPr="00095152">
        <w:rPr>
          <w:rFonts w:ascii="Arial" w:hAnsi="Arial"/>
          <w:lang w:val="es-ES_tradnl"/>
        </w:rPr>
        <w:t xml:space="preserve"> </w:t>
      </w:r>
      <w:r w:rsidR="00C108B8" w:rsidRPr="00095152">
        <w:rPr>
          <w:rFonts w:ascii="Arial" w:hAnsi="Arial"/>
          <w:i/>
          <w:iCs/>
          <w:lang w:val="es-ES_tradnl"/>
        </w:rPr>
        <w:t>En última instancia, mejorarán los resultados finales sociales relacionados con el tiempo, el clima, los desastres, la economía, la acción climática y el desarrollo sostenible.</w:t>
      </w:r>
    </w:p>
    <w:p w14:paraId="0EFEAFE1" w14:textId="25B2007C" w:rsidR="00C108B8" w:rsidRPr="00095152" w:rsidRDefault="00A73666" w:rsidP="00095152">
      <w:pPr>
        <w:tabs>
          <w:tab w:val="clear" w:pos="1134"/>
          <w:tab w:val="left" w:pos="567"/>
        </w:tabs>
        <w:snapToGrid w:val="0"/>
        <w:spacing w:after="240"/>
        <w:rPr>
          <w:rFonts w:ascii="Arial" w:hAnsi="Arial"/>
          <w:b/>
          <w:i/>
          <w:color w:val="000000"/>
          <w:sz w:val="22"/>
          <w:szCs w:val="22"/>
          <w:lang w:val="es-ES_tradnl"/>
        </w:rPr>
      </w:pPr>
      <w:r w:rsidRPr="00095152">
        <w:rPr>
          <w:rFonts w:ascii="Arial" w:hAnsi="Arial"/>
          <w:bCs/>
          <w:iCs/>
          <w:color w:val="000000"/>
          <w:sz w:val="22"/>
          <w:szCs w:val="22"/>
          <w:lang w:val="es-ES_tradnl"/>
        </w:rPr>
        <w:t>15.</w:t>
      </w:r>
      <w:r w:rsidRPr="00095152">
        <w:rPr>
          <w:rFonts w:ascii="Arial" w:hAnsi="Arial"/>
          <w:bCs/>
          <w:iCs/>
          <w:color w:val="000000"/>
          <w:sz w:val="22"/>
          <w:szCs w:val="22"/>
          <w:lang w:val="es-ES_tradnl"/>
        </w:rPr>
        <w:tab/>
      </w:r>
      <w:r w:rsidR="00C108B8" w:rsidRPr="00095152">
        <w:rPr>
          <w:rFonts w:ascii="Arial" w:hAnsi="Arial"/>
          <w:sz w:val="22"/>
          <w:szCs w:val="22"/>
          <w:lang w:val="es-ES_tradnl"/>
        </w:rPr>
        <w:t xml:space="preserve">En la figura anterior se ilustran los dos tipos de cadenas de valor a partir de una infraestructura común de observaciones, gestión de datos y predicción, que incluyen una rama con prestación de servicios operacionales y otra rama que se ocupa de la interfaz de la ciencia y la política. El refuerzo de estas cadenas de valor en las comunidades de la OMM y la COI permitirá mejorar los resultados sociales, lo que dependerá también de la interacción con los usuarios, la evaluación de las cadenas de valor y el diseño conjunto de cambios que </w:t>
      </w:r>
      <w:r w:rsidR="00A566F8" w:rsidRPr="00095152">
        <w:rPr>
          <w:rFonts w:ascii="Arial" w:hAnsi="Arial"/>
          <w:sz w:val="22"/>
          <w:szCs w:val="22"/>
          <w:lang w:val="es-ES_tradnl"/>
        </w:rPr>
        <w:t xml:space="preserve">aporten </w:t>
      </w:r>
      <w:r w:rsidR="00C108B8" w:rsidRPr="00095152">
        <w:rPr>
          <w:rFonts w:ascii="Arial" w:hAnsi="Arial"/>
          <w:sz w:val="22"/>
          <w:szCs w:val="22"/>
          <w:lang w:val="es-ES_tradnl"/>
        </w:rPr>
        <w:t xml:space="preserve">soluciones. </w:t>
      </w:r>
      <w:r w:rsidR="00E66109" w:rsidRPr="00095152">
        <w:rPr>
          <w:rFonts w:ascii="Arial" w:hAnsi="Arial"/>
          <w:sz w:val="22"/>
          <w:szCs w:val="22"/>
          <w:lang w:val="es-ES_tradnl"/>
        </w:rPr>
        <w:t>E</w:t>
      </w:r>
      <w:r w:rsidR="00C108B8" w:rsidRPr="00095152">
        <w:rPr>
          <w:rFonts w:ascii="Arial" w:hAnsi="Arial"/>
          <w:sz w:val="22"/>
          <w:szCs w:val="22"/>
          <w:lang w:val="es-ES_tradnl"/>
        </w:rPr>
        <w:t>n los espacios meteorológico y oceanográfico</w:t>
      </w:r>
      <w:r w:rsidR="00E66109" w:rsidRPr="00095152">
        <w:rPr>
          <w:rFonts w:ascii="Arial" w:hAnsi="Arial"/>
          <w:sz w:val="22"/>
          <w:szCs w:val="22"/>
          <w:lang w:val="es-ES_tradnl"/>
        </w:rPr>
        <w:t>,</w:t>
      </w:r>
      <w:r w:rsidR="00C108B8" w:rsidRPr="00095152">
        <w:rPr>
          <w:rFonts w:ascii="Arial" w:hAnsi="Arial"/>
          <w:sz w:val="22"/>
          <w:szCs w:val="22"/>
          <w:lang w:val="es-ES_tradnl"/>
        </w:rPr>
        <w:t xml:space="preserve"> la investigación y el desarrollo</w:t>
      </w:r>
      <w:r w:rsidR="00E66109" w:rsidRPr="00095152">
        <w:rPr>
          <w:rFonts w:ascii="Arial" w:hAnsi="Arial"/>
          <w:sz w:val="22"/>
          <w:szCs w:val="22"/>
          <w:lang w:val="es-ES_tradnl"/>
        </w:rPr>
        <w:t xml:space="preserve"> son </w:t>
      </w:r>
      <w:r w:rsidR="00BA61E1" w:rsidRPr="00095152">
        <w:rPr>
          <w:rFonts w:ascii="Arial" w:hAnsi="Arial"/>
          <w:sz w:val="22"/>
          <w:szCs w:val="22"/>
          <w:lang w:val="es-ES_tradnl"/>
        </w:rPr>
        <w:t>uno de los factores facilitadores</w:t>
      </w:r>
      <w:r w:rsidR="00C108B8" w:rsidRPr="00095152">
        <w:rPr>
          <w:rFonts w:ascii="Arial" w:hAnsi="Arial"/>
          <w:sz w:val="22"/>
          <w:szCs w:val="22"/>
          <w:lang w:val="es-ES_tradnl"/>
        </w:rPr>
        <w:t xml:space="preserve"> que propician avances operacionales </w:t>
      </w:r>
      <w:r w:rsidR="00432D7D" w:rsidRPr="00095152">
        <w:rPr>
          <w:rFonts w:ascii="Arial" w:hAnsi="Arial"/>
          <w:sz w:val="22"/>
          <w:szCs w:val="22"/>
          <w:lang w:val="es-ES_tradnl"/>
        </w:rPr>
        <w:t xml:space="preserve">y en el ámbito de las </w:t>
      </w:r>
      <w:r w:rsidR="00C108B8" w:rsidRPr="00095152">
        <w:rPr>
          <w:rFonts w:ascii="Arial" w:hAnsi="Arial"/>
          <w:sz w:val="22"/>
          <w:szCs w:val="22"/>
          <w:lang w:val="es-ES_tradnl"/>
        </w:rPr>
        <w:t>polític</w:t>
      </w:r>
      <w:r w:rsidR="00432D7D" w:rsidRPr="00095152">
        <w:rPr>
          <w:rFonts w:ascii="Arial" w:hAnsi="Arial"/>
          <w:sz w:val="22"/>
          <w:szCs w:val="22"/>
          <w:lang w:val="es-ES_tradnl"/>
        </w:rPr>
        <w:t>a</w:t>
      </w:r>
      <w:r w:rsidR="00C108B8" w:rsidRPr="00095152">
        <w:rPr>
          <w:rFonts w:ascii="Arial" w:hAnsi="Arial"/>
          <w:sz w:val="22"/>
          <w:szCs w:val="22"/>
          <w:lang w:val="es-ES_tradnl"/>
        </w:rPr>
        <w:t>s, la promoción de normas y mejores prácticas, la adopción de enfoques regionales adecuados</w:t>
      </w:r>
      <w:r w:rsidR="00160A77" w:rsidRPr="00095152">
        <w:rPr>
          <w:rFonts w:ascii="Arial" w:hAnsi="Arial"/>
          <w:sz w:val="22"/>
          <w:szCs w:val="22"/>
          <w:lang w:val="es-ES_tradnl"/>
        </w:rPr>
        <w:t>,</w:t>
      </w:r>
      <w:r w:rsidR="00C108B8" w:rsidRPr="00095152">
        <w:rPr>
          <w:rFonts w:ascii="Arial" w:hAnsi="Arial"/>
          <w:sz w:val="22"/>
          <w:szCs w:val="22"/>
          <w:lang w:val="es-ES_tradnl"/>
        </w:rPr>
        <w:t xml:space="preserve"> y la creación de capacidad de todos los Miembros y Estados Miembros de modo que </w:t>
      </w:r>
      <w:r w:rsidR="002D3C33" w:rsidRPr="00095152">
        <w:rPr>
          <w:rFonts w:ascii="Arial" w:hAnsi="Arial"/>
          <w:sz w:val="22"/>
          <w:szCs w:val="22"/>
          <w:lang w:val="es-ES_tradnl"/>
        </w:rPr>
        <w:t>participen</w:t>
      </w:r>
      <w:r w:rsidR="00C108B8" w:rsidRPr="00095152">
        <w:rPr>
          <w:rFonts w:ascii="Arial" w:hAnsi="Arial"/>
          <w:sz w:val="22"/>
          <w:szCs w:val="22"/>
          <w:lang w:val="es-ES_tradnl"/>
        </w:rPr>
        <w:t xml:space="preserve"> en beneficio de sus propios países y regiones. </w:t>
      </w:r>
    </w:p>
    <w:p w14:paraId="3E238876" w14:textId="54B6BA47" w:rsidR="00C108B8" w:rsidRPr="00095152" w:rsidRDefault="00A73666" w:rsidP="00095152">
      <w:pPr>
        <w:tabs>
          <w:tab w:val="clear" w:pos="1134"/>
          <w:tab w:val="left" w:pos="567"/>
        </w:tabs>
        <w:snapToGrid w:val="0"/>
        <w:spacing w:after="240"/>
        <w:rPr>
          <w:rFonts w:ascii="Arial" w:eastAsia="Verdana" w:hAnsi="Arial"/>
          <w:b/>
          <w:bCs/>
          <w:iCs/>
          <w:sz w:val="22"/>
          <w:szCs w:val="22"/>
          <w:lang w:val="es-ES_tradnl" w:eastAsia="zh-TW"/>
        </w:rPr>
      </w:pPr>
      <w:r w:rsidRPr="00095152">
        <w:rPr>
          <w:rFonts w:ascii="Arial" w:eastAsia="Verdana" w:hAnsi="Arial"/>
          <w:bCs/>
          <w:iCs/>
          <w:sz w:val="22"/>
          <w:szCs w:val="22"/>
          <w:lang w:val="es-ES_tradnl" w:eastAsia="zh-TW"/>
        </w:rPr>
        <w:t>16.</w:t>
      </w:r>
      <w:r w:rsidRPr="00095152">
        <w:rPr>
          <w:rFonts w:ascii="Arial" w:eastAsia="Verdana" w:hAnsi="Arial"/>
          <w:bCs/>
          <w:iCs/>
          <w:sz w:val="22"/>
          <w:szCs w:val="22"/>
          <w:lang w:val="es-ES_tradnl" w:eastAsia="zh-TW"/>
        </w:rPr>
        <w:tab/>
      </w:r>
      <w:r w:rsidR="00C108B8" w:rsidRPr="00095152">
        <w:rPr>
          <w:rFonts w:ascii="Arial" w:hAnsi="Arial"/>
          <w:sz w:val="22"/>
          <w:szCs w:val="22"/>
          <w:lang w:val="es-ES_tradnl"/>
        </w:rPr>
        <w:t xml:space="preserve">A través de esta Estrategia de Colaboración OMM-COI, se prevé una asociación </w:t>
      </w:r>
      <w:r w:rsidR="002A34CC" w:rsidRPr="00095152">
        <w:rPr>
          <w:rFonts w:ascii="Arial" w:hAnsi="Arial"/>
          <w:sz w:val="22"/>
          <w:szCs w:val="22"/>
          <w:lang w:val="es-ES_tradnl"/>
        </w:rPr>
        <w:t>consolidada</w:t>
      </w:r>
      <w:r w:rsidR="00C108B8" w:rsidRPr="00095152">
        <w:rPr>
          <w:rFonts w:ascii="Arial" w:hAnsi="Arial"/>
          <w:sz w:val="22"/>
          <w:szCs w:val="22"/>
          <w:lang w:val="es-ES_tradnl"/>
        </w:rPr>
        <w:t>, que acercará a la COI y a la OMM en la obtención de beneficios mutuos tanto para los Miembros como para los Estados Miembros. Esto implica un mayor</w:t>
      </w:r>
      <w:r w:rsidR="00FE1015" w:rsidRPr="00095152">
        <w:rPr>
          <w:rFonts w:ascii="Arial" w:hAnsi="Arial"/>
          <w:sz w:val="22"/>
          <w:szCs w:val="22"/>
          <w:lang w:val="es-ES_tradnl"/>
        </w:rPr>
        <w:t xml:space="preserve"> uso del</w:t>
      </w:r>
      <w:r w:rsidR="00C108B8" w:rsidRPr="00095152">
        <w:rPr>
          <w:rFonts w:ascii="Arial" w:hAnsi="Arial"/>
          <w:sz w:val="22"/>
          <w:szCs w:val="22"/>
          <w:lang w:val="es-ES_tradnl"/>
        </w:rPr>
        <w:t xml:space="preserve"> enfoque del sistema Tierra, con sistemas de observación integrados, sistemas de datos e información interoperables, sistemas de predicción sin discontinuidad, servicios operacionales reforzados, investigaciones innovadoras e interdisciplinares y aportaciones científicas transformadoras a los procesos políticos.</w:t>
      </w:r>
      <w:bookmarkStart w:id="3" w:name="_o9xaapqpqfch" w:colFirst="0" w:colLast="0"/>
      <w:bookmarkEnd w:id="3"/>
    </w:p>
    <w:p w14:paraId="7436F1E7" w14:textId="77777777" w:rsidR="00C108B8" w:rsidRPr="00095152" w:rsidRDefault="00C108B8" w:rsidP="00095152">
      <w:pPr>
        <w:pStyle w:val="Heading2"/>
        <w:snapToGrid w:val="0"/>
        <w:spacing w:before="0" w:after="240"/>
        <w:jc w:val="both"/>
        <w:rPr>
          <w:rFonts w:ascii="Arial" w:hAnsi="Arial" w:cs="Arial"/>
        </w:rPr>
      </w:pPr>
      <w:r w:rsidRPr="00095152">
        <w:rPr>
          <w:rFonts w:ascii="Arial" w:hAnsi="Arial" w:cs="Arial"/>
        </w:rPr>
        <w:lastRenderedPageBreak/>
        <w:t>Enfoques</w:t>
      </w:r>
    </w:p>
    <w:p w14:paraId="7AEB1F5A" w14:textId="09A11501" w:rsidR="00C108B8" w:rsidRPr="00095152" w:rsidRDefault="00A73666" w:rsidP="00095152">
      <w:pPr>
        <w:tabs>
          <w:tab w:val="clear" w:pos="1134"/>
          <w:tab w:val="left" w:pos="567"/>
        </w:tabs>
        <w:snapToGrid w:val="0"/>
        <w:spacing w:after="240"/>
        <w:rPr>
          <w:rFonts w:ascii="Arial" w:hAnsi="Arial"/>
          <w:i/>
          <w:sz w:val="22"/>
          <w:szCs w:val="22"/>
          <w:lang w:val="es-ES_tradnl"/>
        </w:rPr>
      </w:pPr>
      <w:r w:rsidRPr="00095152">
        <w:rPr>
          <w:rFonts w:ascii="Arial" w:hAnsi="Arial"/>
          <w:bCs/>
          <w:iCs/>
          <w:sz w:val="22"/>
          <w:szCs w:val="22"/>
          <w:lang w:val="es-ES_tradnl"/>
        </w:rPr>
        <w:t>17.</w:t>
      </w:r>
      <w:r w:rsidRPr="00095152">
        <w:rPr>
          <w:rFonts w:ascii="Arial" w:hAnsi="Arial"/>
          <w:bCs/>
          <w:iCs/>
          <w:sz w:val="22"/>
          <w:szCs w:val="22"/>
          <w:lang w:val="es-ES_tradnl"/>
        </w:rPr>
        <w:tab/>
      </w:r>
      <w:r w:rsidR="00C108B8" w:rsidRPr="00095152">
        <w:rPr>
          <w:rFonts w:ascii="Arial" w:hAnsi="Arial"/>
          <w:sz w:val="22"/>
          <w:szCs w:val="22"/>
          <w:lang w:val="es-ES_tradnl"/>
        </w:rPr>
        <w:t xml:space="preserve">La OMM y la COI deberían colaborar en los seis enfoques </w:t>
      </w:r>
      <w:r w:rsidR="00C13284" w:rsidRPr="00095152">
        <w:rPr>
          <w:rFonts w:ascii="Arial" w:hAnsi="Arial"/>
          <w:sz w:val="22"/>
          <w:szCs w:val="22"/>
          <w:lang w:val="es-ES_tradnl"/>
        </w:rPr>
        <w:t>que se describen a continuación.</w:t>
      </w:r>
    </w:p>
    <w:p w14:paraId="291ECA64" w14:textId="269A9C27" w:rsidR="00C108B8" w:rsidRPr="00095152" w:rsidRDefault="00A73666" w:rsidP="00095152">
      <w:pPr>
        <w:tabs>
          <w:tab w:val="clear" w:pos="1134"/>
        </w:tabs>
        <w:snapToGrid w:val="0"/>
        <w:spacing w:after="240"/>
        <w:ind w:left="1134" w:hanging="567"/>
        <w:rPr>
          <w:rFonts w:ascii="Arial" w:hAnsi="Arial"/>
          <w:i/>
          <w:sz w:val="22"/>
          <w:szCs w:val="22"/>
          <w:u w:val="single"/>
          <w:lang w:val="es-ES_tradnl"/>
        </w:rPr>
      </w:pPr>
      <w:r w:rsidRPr="00095152">
        <w:rPr>
          <w:rFonts w:ascii="Arial" w:hAnsi="Arial"/>
          <w:i/>
          <w:sz w:val="22"/>
          <w:szCs w:val="22"/>
          <w:lang w:val="es-ES_tradnl"/>
        </w:rPr>
        <w:t>1.</w:t>
      </w:r>
      <w:r w:rsidRPr="00095152">
        <w:rPr>
          <w:rFonts w:ascii="Arial" w:hAnsi="Arial"/>
          <w:i/>
          <w:sz w:val="22"/>
          <w:szCs w:val="22"/>
          <w:lang w:val="es-ES_tradnl"/>
        </w:rPr>
        <w:tab/>
      </w:r>
      <w:r w:rsidR="00C108B8" w:rsidRPr="00095152">
        <w:rPr>
          <w:rFonts w:ascii="Arial" w:hAnsi="Arial"/>
          <w:i/>
          <w:iCs/>
          <w:sz w:val="22"/>
          <w:szCs w:val="22"/>
          <w:u w:val="single"/>
          <w:lang w:val="es-ES_tradnl"/>
        </w:rPr>
        <w:t>Comunicación y compromiso para el refuerzo estratégico mutuo</w:t>
      </w:r>
      <w:r w:rsidR="00C108B8" w:rsidRPr="00095152">
        <w:rPr>
          <w:rFonts w:ascii="Arial" w:hAnsi="Arial"/>
          <w:sz w:val="22"/>
          <w:szCs w:val="22"/>
          <w:lang w:val="es-ES_tradnl"/>
        </w:rPr>
        <w:t xml:space="preserve"> </w:t>
      </w:r>
    </w:p>
    <w:p w14:paraId="1D471A33" w14:textId="1292D8FA"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18.</w:t>
      </w:r>
      <w:r w:rsidRPr="00095152">
        <w:rPr>
          <w:rFonts w:ascii="Arial" w:hAnsi="Arial"/>
          <w:bCs/>
          <w:iCs/>
          <w:sz w:val="22"/>
          <w:szCs w:val="22"/>
          <w:lang w:val="es-ES_tradnl"/>
        </w:rPr>
        <w:tab/>
      </w:r>
      <w:r w:rsidR="00C108B8" w:rsidRPr="00095152">
        <w:rPr>
          <w:rFonts w:ascii="Arial" w:hAnsi="Arial"/>
          <w:sz w:val="22"/>
          <w:szCs w:val="22"/>
          <w:lang w:val="es-ES_tradnl"/>
        </w:rPr>
        <w:t>Reconociendo las metas comunes de la COI y la OMM y la urgente necesidad de dar a conocer</w:t>
      </w:r>
      <w:r w:rsidR="008C502D" w:rsidRPr="00095152">
        <w:rPr>
          <w:rFonts w:ascii="Arial" w:hAnsi="Arial"/>
          <w:sz w:val="22"/>
          <w:szCs w:val="22"/>
          <w:lang w:val="es-ES_tradnl"/>
        </w:rPr>
        <w:t xml:space="preserve"> más ampliamente</w:t>
      </w:r>
      <w:r w:rsidR="00C108B8" w:rsidRPr="00095152">
        <w:rPr>
          <w:rFonts w:ascii="Arial" w:hAnsi="Arial"/>
          <w:sz w:val="22"/>
          <w:szCs w:val="22"/>
          <w:lang w:val="es-ES_tradnl"/>
        </w:rPr>
        <w:t xml:space="preserve"> los enfoques científicos y técnicos que las dos organizaciones pueden aportar a la solución de los problemas de la sociedad, incluidas las partes interesadas nacionales y mundiales, las instancias decisorias</w:t>
      </w:r>
      <w:r w:rsidR="001B0E42" w:rsidRPr="00095152">
        <w:rPr>
          <w:rFonts w:ascii="Arial" w:hAnsi="Arial"/>
          <w:sz w:val="22"/>
          <w:szCs w:val="22"/>
          <w:lang w:val="es-ES_tradnl"/>
        </w:rPr>
        <w:t xml:space="preserve"> y de formulación de políticas</w:t>
      </w:r>
      <w:r w:rsidR="00C108B8" w:rsidRPr="00095152">
        <w:rPr>
          <w:rFonts w:ascii="Arial" w:hAnsi="Arial"/>
          <w:sz w:val="22"/>
          <w:szCs w:val="22"/>
          <w:lang w:val="es-ES_tradnl"/>
        </w:rPr>
        <w:t xml:space="preserve"> y el público en general, la OMM y la COI deberían reforzar la colaboración en materia de comunicación con las partes interesadas comunes. Sería beneficioso fortalecer los enfoques del sistema Tierra que ya se ponen en práctica en los organismos representativos conjuntos de la COI y la OMM a nivel nacional, haciendo hincapié en los objetivos </w:t>
      </w:r>
      <w:r w:rsidR="00733C9E" w:rsidRPr="00095152">
        <w:rPr>
          <w:rFonts w:ascii="Arial" w:hAnsi="Arial"/>
          <w:sz w:val="22"/>
          <w:szCs w:val="22"/>
          <w:lang w:val="es-ES_tradnl"/>
        </w:rPr>
        <w:t>comunes</w:t>
      </w:r>
      <w:r w:rsidR="00C108B8" w:rsidRPr="00095152">
        <w:rPr>
          <w:rFonts w:ascii="Arial" w:hAnsi="Arial"/>
          <w:sz w:val="22"/>
          <w:szCs w:val="22"/>
          <w:lang w:val="es-ES_tradnl"/>
        </w:rPr>
        <w:t xml:space="preserve">. El fomento de la comunicación interna entre las redes de expertos de la OMM y la COI también es importante para mejorar la colaboración y construir una comunidad </w:t>
      </w:r>
      <w:r w:rsidR="00D04337" w:rsidRPr="00095152">
        <w:rPr>
          <w:rFonts w:ascii="Arial" w:hAnsi="Arial"/>
          <w:sz w:val="22"/>
          <w:szCs w:val="22"/>
          <w:lang w:val="es-ES_tradnl"/>
        </w:rPr>
        <w:t>efectiva</w:t>
      </w:r>
      <w:r w:rsidR="009A51BE" w:rsidRPr="00095152">
        <w:rPr>
          <w:rFonts w:ascii="Arial" w:hAnsi="Arial"/>
          <w:sz w:val="22"/>
          <w:szCs w:val="22"/>
          <w:lang w:val="es-ES_tradnl"/>
        </w:rPr>
        <w:t xml:space="preserve"> y </w:t>
      </w:r>
      <w:r w:rsidR="00C108B8" w:rsidRPr="00095152">
        <w:rPr>
          <w:rFonts w:ascii="Arial" w:hAnsi="Arial"/>
          <w:sz w:val="22"/>
          <w:szCs w:val="22"/>
          <w:lang w:val="es-ES_tradnl"/>
        </w:rPr>
        <w:t xml:space="preserve">comprometida. Cuando se observen casos exitosos, la COI y la OMM deberían </w:t>
      </w:r>
      <w:r w:rsidR="009841F4" w:rsidRPr="00095152">
        <w:rPr>
          <w:rFonts w:ascii="Arial" w:hAnsi="Arial"/>
          <w:sz w:val="22"/>
          <w:szCs w:val="22"/>
          <w:lang w:val="es-ES_tradnl"/>
        </w:rPr>
        <w:t xml:space="preserve">fomentar </w:t>
      </w:r>
      <w:r w:rsidR="00C108B8" w:rsidRPr="00095152">
        <w:rPr>
          <w:rFonts w:ascii="Arial" w:hAnsi="Arial"/>
          <w:sz w:val="22"/>
          <w:szCs w:val="22"/>
          <w:lang w:val="es-ES_tradnl"/>
        </w:rPr>
        <w:t xml:space="preserve">conjuntamente las condiciones para reproducirlos y ampliarlos. También se </w:t>
      </w:r>
      <w:r w:rsidR="00A535BF" w:rsidRPr="00095152">
        <w:rPr>
          <w:rFonts w:ascii="Arial" w:hAnsi="Arial"/>
          <w:sz w:val="22"/>
          <w:szCs w:val="22"/>
          <w:lang w:val="es-ES_tradnl"/>
        </w:rPr>
        <w:t xml:space="preserve">deberían </w:t>
      </w:r>
      <w:r w:rsidR="00874C31" w:rsidRPr="00095152">
        <w:rPr>
          <w:rFonts w:ascii="Arial" w:hAnsi="Arial"/>
          <w:sz w:val="22"/>
          <w:szCs w:val="22"/>
          <w:lang w:val="es-ES_tradnl"/>
        </w:rPr>
        <w:t xml:space="preserve">alentar </w:t>
      </w:r>
      <w:r w:rsidR="00C108B8" w:rsidRPr="00095152">
        <w:rPr>
          <w:rFonts w:ascii="Arial" w:hAnsi="Arial"/>
          <w:sz w:val="22"/>
          <w:szCs w:val="22"/>
          <w:lang w:val="es-ES_tradnl"/>
        </w:rPr>
        <w:t>la promoción y el aprendizaje mutuo</w:t>
      </w:r>
      <w:r w:rsidR="00874C31" w:rsidRPr="00095152">
        <w:rPr>
          <w:rFonts w:ascii="Arial" w:hAnsi="Arial"/>
          <w:sz w:val="22"/>
          <w:szCs w:val="22"/>
          <w:lang w:val="es-ES_tradnl"/>
        </w:rPr>
        <w:t>s</w:t>
      </w:r>
      <w:r w:rsidR="00C108B8" w:rsidRPr="00095152">
        <w:rPr>
          <w:rFonts w:ascii="Arial" w:hAnsi="Arial"/>
          <w:sz w:val="22"/>
          <w:szCs w:val="22"/>
          <w:lang w:val="es-ES_tradnl"/>
        </w:rPr>
        <w:t xml:space="preserve">, lo que </w:t>
      </w:r>
      <w:r w:rsidR="00121FFA" w:rsidRPr="00095152">
        <w:rPr>
          <w:rFonts w:ascii="Arial" w:hAnsi="Arial"/>
          <w:sz w:val="22"/>
          <w:szCs w:val="22"/>
          <w:lang w:val="es-ES_tradnl"/>
        </w:rPr>
        <w:t xml:space="preserve">propiciaría </w:t>
      </w:r>
      <w:r w:rsidR="00C108B8" w:rsidRPr="00095152">
        <w:rPr>
          <w:rFonts w:ascii="Arial" w:hAnsi="Arial"/>
          <w:sz w:val="22"/>
          <w:szCs w:val="22"/>
          <w:lang w:val="es-ES_tradnl"/>
        </w:rPr>
        <w:t>el refuerzo estratégico y mutuo de las actividades e intereses de colaboración de ambas instituciones.</w:t>
      </w:r>
    </w:p>
    <w:p w14:paraId="4BC4CF06" w14:textId="23D891DA" w:rsidR="00C108B8" w:rsidRPr="00095152" w:rsidRDefault="00A73666" w:rsidP="00095152">
      <w:pPr>
        <w:tabs>
          <w:tab w:val="clear" w:pos="1134"/>
        </w:tabs>
        <w:snapToGrid w:val="0"/>
        <w:spacing w:after="240"/>
        <w:ind w:left="1134" w:hanging="567"/>
        <w:rPr>
          <w:rFonts w:ascii="Arial" w:hAnsi="Arial"/>
          <w:i/>
          <w:sz w:val="22"/>
          <w:szCs w:val="22"/>
          <w:u w:val="single"/>
          <w:lang w:val="es-ES_tradnl"/>
        </w:rPr>
      </w:pPr>
      <w:r w:rsidRPr="00095152">
        <w:rPr>
          <w:rFonts w:ascii="Arial" w:hAnsi="Arial"/>
          <w:i/>
          <w:sz w:val="22"/>
          <w:szCs w:val="22"/>
          <w:lang w:val="es-ES_tradnl"/>
        </w:rPr>
        <w:t>2.</w:t>
      </w:r>
      <w:r w:rsidRPr="00095152">
        <w:rPr>
          <w:rFonts w:ascii="Arial" w:hAnsi="Arial"/>
          <w:i/>
          <w:sz w:val="22"/>
          <w:szCs w:val="22"/>
          <w:lang w:val="es-ES_tradnl"/>
        </w:rPr>
        <w:tab/>
      </w:r>
      <w:r w:rsidR="00C108B8" w:rsidRPr="00095152">
        <w:rPr>
          <w:rFonts w:ascii="Arial" w:hAnsi="Arial"/>
          <w:i/>
          <w:iCs/>
          <w:sz w:val="22"/>
          <w:szCs w:val="22"/>
          <w:u w:val="single"/>
          <w:lang w:val="es-ES_tradnl"/>
        </w:rPr>
        <w:t>Elaboración de normas y mejores prácticas</w:t>
      </w:r>
      <w:r w:rsidR="00C108B8" w:rsidRPr="00095152">
        <w:rPr>
          <w:rFonts w:ascii="Arial" w:hAnsi="Arial"/>
          <w:sz w:val="22"/>
          <w:szCs w:val="22"/>
          <w:lang w:val="es-ES_tradnl"/>
        </w:rPr>
        <w:t xml:space="preserve"> </w:t>
      </w:r>
    </w:p>
    <w:p w14:paraId="5846F15E" w14:textId="76C2A248"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19.</w:t>
      </w:r>
      <w:r w:rsidRPr="00095152">
        <w:rPr>
          <w:rFonts w:ascii="Arial" w:hAnsi="Arial"/>
          <w:bCs/>
          <w:iCs/>
          <w:sz w:val="22"/>
          <w:szCs w:val="22"/>
          <w:lang w:val="es-ES_tradnl"/>
        </w:rPr>
        <w:tab/>
      </w:r>
      <w:r w:rsidR="00C108B8" w:rsidRPr="00095152">
        <w:rPr>
          <w:rFonts w:ascii="Arial" w:hAnsi="Arial"/>
          <w:sz w:val="22"/>
          <w:szCs w:val="22"/>
          <w:lang w:val="es-ES_tradnl"/>
        </w:rPr>
        <w:t xml:space="preserve">Para garantizar </w:t>
      </w:r>
      <w:r w:rsidR="00165730" w:rsidRPr="00095152">
        <w:rPr>
          <w:rFonts w:ascii="Arial" w:hAnsi="Arial"/>
          <w:sz w:val="22"/>
          <w:szCs w:val="22"/>
          <w:lang w:val="es-ES_tradnl"/>
        </w:rPr>
        <w:t xml:space="preserve">una </w:t>
      </w:r>
      <w:r w:rsidR="00C108B8" w:rsidRPr="00095152">
        <w:rPr>
          <w:rFonts w:ascii="Arial" w:hAnsi="Arial"/>
          <w:sz w:val="22"/>
          <w:szCs w:val="22"/>
          <w:lang w:val="es-ES_tradnl"/>
        </w:rPr>
        <w:t xml:space="preserve">máxima obtención de resultados </w:t>
      </w:r>
      <w:r w:rsidR="00F02016" w:rsidRPr="00095152">
        <w:rPr>
          <w:rFonts w:ascii="Arial" w:hAnsi="Arial"/>
          <w:sz w:val="22"/>
          <w:szCs w:val="22"/>
          <w:lang w:val="es-ES_tradnl"/>
        </w:rPr>
        <w:t>que sean beneficiosos para</w:t>
      </w:r>
      <w:r w:rsidR="00C108B8" w:rsidRPr="00095152">
        <w:rPr>
          <w:rFonts w:ascii="Arial" w:hAnsi="Arial"/>
          <w:sz w:val="22"/>
          <w:szCs w:val="22"/>
          <w:lang w:val="es-ES_tradnl"/>
        </w:rPr>
        <w:t xml:space="preserve"> la sociedad, la COI y la OMM deberían crear y mantener un conjunto de normas y mejores prácticas accesibles, sólidas y complementarias. Ambas organizaciones deberían fomentar la elaboración y la publicación de las mejores prácticas y la detección de deficiencias en este material, y deberían aplicar el marco reglamentario obligatorio de la OMM, cuando proceda. La coordinación de las políticas de datos de la COI y de la OMM redundará en beneficio mutuo. </w:t>
      </w:r>
    </w:p>
    <w:p w14:paraId="34A69B56" w14:textId="4C694DFF" w:rsidR="00C108B8" w:rsidRPr="00095152" w:rsidRDefault="00A73666" w:rsidP="00095152">
      <w:pPr>
        <w:tabs>
          <w:tab w:val="clear" w:pos="1134"/>
        </w:tabs>
        <w:snapToGrid w:val="0"/>
        <w:spacing w:after="240"/>
        <w:ind w:left="1134" w:hanging="567"/>
        <w:rPr>
          <w:rFonts w:ascii="Arial" w:hAnsi="Arial"/>
          <w:i/>
          <w:sz w:val="22"/>
          <w:szCs w:val="22"/>
          <w:u w:val="single"/>
          <w:lang w:val="es-ES_tradnl"/>
        </w:rPr>
      </w:pPr>
      <w:r w:rsidRPr="00095152">
        <w:rPr>
          <w:rFonts w:ascii="Arial" w:hAnsi="Arial"/>
          <w:i/>
          <w:sz w:val="22"/>
          <w:szCs w:val="22"/>
          <w:lang w:val="es-ES_tradnl"/>
        </w:rPr>
        <w:t>3.</w:t>
      </w:r>
      <w:r w:rsidRPr="00095152">
        <w:rPr>
          <w:rFonts w:ascii="Arial" w:hAnsi="Arial"/>
          <w:i/>
          <w:sz w:val="22"/>
          <w:szCs w:val="22"/>
          <w:lang w:val="es-ES_tradnl"/>
        </w:rPr>
        <w:tab/>
      </w:r>
      <w:r w:rsidR="00C108B8" w:rsidRPr="00095152">
        <w:rPr>
          <w:rFonts w:ascii="Arial" w:hAnsi="Arial"/>
          <w:i/>
          <w:iCs/>
          <w:sz w:val="22"/>
          <w:szCs w:val="22"/>
          <w:u w:val="single"/>
          <w:lang w:val="es-ES_tradnl"/>
        </w:rPr>
        <w:t>Satisfacción de las necesidades de servicios y respuesta a los cambios</w:t>
      </w:r>
    </w:p>
    <w:p w14:paraId="76A1F334" w14:textId="26C41BC0"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20.</w:t>
      </w:r>
      <w:r w:rsidRPr="00095152">
        <w:rPr>
          <w:rFonts w:ascii="Arial" w:hAnsi="Arial"/>
          <w:bCs/>
          <w:iCs/>
          <w:sz w:val="22"/>
          <w:szCs w:val="22"/>
          <w:lang w:val="es-ES_tradnl"/>
        </w:rPr>
        <w:tab/>
      </w:r>
      <w:r w:rsidR="00C108B8" w:rsidRPr="00095152">
        <w:rPr>
          <w:rFonts w:ascii="Arial" w:hAnsi="Arial"/>
          <w:sz w:val="22"/>
          <w:szCs w:val="22"/>
          <w:lang w:val="es-ES_tradnl"/>
        </w:rPr>
        <w:t xml:space="preserve">Reconociendo que tanto la OMM como la COI están trabajando para </w:t>
      </w:r>
      <w:r w:rsidR="00867DDB" w:rsidRPr="00095152">
        <w:rPr>
          <w:rFonts w:ascii="Arial" w:hAnsi="Arial"/>
          <w:sz w:val="22"/>
          <w:szCs w:val="22"/>
          <w:lang w:val="es-ES_tradnl"/>
        </w:rPr>
        <w:t xml:space="preserve">elaborar </w:t>
      </w:r>
      <w:r w:rsidR="00C108B8" w:rsidRPr="00095152">
        <w:rPr>
          <w:rFonts w:ascii="Arial" w:hAnsi="Arial"/>
          <w:sz w:val="22"/>
          <w:szCs w:val="22"/>
          <w:lang w:val="es-ES_tradnl"/>
        </w:rPr>
        <w:t>nuevos servicios y competencias y reforzar los existentes a fin de obtener múltiples beneficios en toda la cadena de valor, ambos organismos deberían colaborar en la determinación y el seguimiento de las necesidades de los usuarios para garantizar la pertinencia y la respuesta a los cambios. Entre los componentes más importantes de esta iniciativa se encuentran el diseño conjunto y la creación de infraestructuras</w:t>
      </w:r>
      <w:r w:rsidR="00141A36" w:rsidRPr="00095152">
        <w:rPr>
          <w:rFonts w:ascii="Arial" w:hAnsi="Arial"/>
          <w:sz w:val="22"/>
          <w:szCs w:val="22"/>
          <w:lang w:val="es-ES_tradnl"/>
        </w:rPr>
        <w:t xml:space="preserve"> </w:t>
      </w:r>
      <w:r w:rsidR="00C108B8" w:rsidRPr="00095152">
        <w:rPr>
          <w:rFonts w:ascii="Arial" w:hAnsi="Arial"/>
          <w:sz w:val="22"/>
          <w:szCs w:val="22"/>
          <w:lang w:val="es-ES_tradnl"/>
        </w:rPr>
        <w:t xml:space="preserve">sostenibles de observación, datos y predicción, </w:t>
      </w:r>
      <w:r w:rsidR="00141A36" w:rsidRPr="00095152">
        <w:rPr>
          <w:rFonts w:ascii="Arial" w:hAnsi="Arial"/>
          <w:sz w:val="22"/>
          <w:szCs w:val="22"/>
          <w:lang w:val="es-ES_tradnl"/>
        </w:rPr>
        <w:t xml:space="preserve">los proyectos de investigación y servicios, </w:t>
      </w:r>
      <w:r w:rsidR="0028695D" w:rsidRPr="00095152">
        <w:rPr>
          <w:rFonts w:ascii="Arial" w:hAnsi="Arial"/>
          <w:sz w:val="22"/>
          <w:szCs w:val="22"/>
          <w:lang w:val="es-ES_tradnl"/>
        </w:rPr>
        <w:t xml:space="preserve">y </w:t>
      </w:r>
      <w:r w:rsidR="00C108B8" w:rsidRPr="00095152">
        <w:rPr>
          <w:rFonts w:ascii="Arial" w:hAnsi="Arial"/>
          <w:sz w:val="22"/>
          <w:szCs w:val="22"/>
          <w:lang w:val="es-ES_tradnl"/>
        </w:rPr>
        <w:t xml:space="preserve">el fomento de la transferencia de tecnología e información. Deberían propiciarse las condiciones necesarias para </w:t>
      </w:r>
      <w:r w:rsidR="006B4745" w:rsidRPr="00095152">
        <w:rPr>
          <w:rFonts w:ascii="Arial" w:hAnsi="Arial"/>
          <w:sz w:val="22"/>
          <w:szCs w:val="22"/>
          <w:lang w:val="es-ES_tradnl"/>
        </w:rPr>
        <w:t xml:space="preserve">la adopción de </w:t>
      </w:r>
      <w:r w:rsidR="00C108B8" w:rsidRPr="00095152">
        <w:rPr>
          <w:rFonts w:ascii="Arial" w:hAnsi="Arial"/>
          <w:sz w:val="22"/>
          <w:szCs w:val="22"/>
          <w:lang w:val="es-ES_tradnl"/>
        </w:rPr>
        <w:t xml:space="preserve">enfoques innovadores. La evaluación y el seguimiento de las mejoras, al tiempo que se solicita la opinión periódica de los usuarios, </w:t>
      </w:r>
      <w:r w:rsidR="00DD2371" w:rsidRPr="00095152">
        <w:rPr>
          <w:rFonts w:ascii="Arial" w:hAnsi="Arial"/>
          <w:sz w:val="22"/>
          <w:szCs w:val="22"/>
          <w:lang w:val="es-ES_tradnl"/>
        </w:rPr>
        <w:t>revisten suma</w:t>
      </w:r>
      <w:r w:rsidR="00106A3B" w:rsidRPr="00095152">
        <w:rPr>
          <w:rFonts w:ascii="Arial" w:hAnsi="Arial"/>
          <w:sz w:val="22"/>
          <w:szCs w:val="22"/>
          <w:lang w:val="es-ES_tradnl"/>
        </w:rPr>
        <w:t xml:space="preserve"> importancia</w:t>
      </w:r>
      <w:r w:rsidR="00C108B8" w:rsidRPr="00095152">
        <w:rPr>
          <w:rFonts w:ascii="Arial" w:hAnsi="Arial"/>
          <w:sz w:val="22"/>
          <w:szCs w:val="22"/>
          <w:lang w:val="es-ES_tradnl"/>
        </w:rPr>
        <w:t>.</w:t>
      </w:r>
    </w:p>
    <w:p w14:paraId="3DFBFE3D" w14:textId="03D93005" w:rsidR="00C108B8" w:rsidRPr="00095152" w:rsidRDefault="00A73666" w:rsidP="00095152">
      <w:pPr>
        <w:tabs>
          <w:tab w:val="clear" w:pos="1134"/>
        </w:tabs>
        <w:snapToGrid w:val="0"/>
        <w:spacing w:after="240"/>
        <w:ind w:left="1134" w:hanging="567"/>
        <w:rPr>
          <w:rFonts w:ascii="Arial" w:hAnsi="Arial"/>
          <w:i/>
          <w:sz w:val="22"/>
          <w:szCs w:val="22"/>
          <w:u w:val="single"/>
          <w:lang w:val="es-ES_tradnl"/>
        </w:rPr>
      </w:pPr>
      <w:r w:rsidRPr="00095152">
        <w:rPr>
          <w:rFonts w:ascii="Arial" w:hAnsi="Arial"/>
          <w:i/>
          <w:sz w:val="22"/>
          <w:szCs w:val="22"/>
          <w:lang w:val="es-ES_tradnl"/>
        </w:rPr>
        <w:t>4.</w:t>
      </w:r>
      <w:r w:rsidRPr="00095152">
        <w:rPr>
          <w:rFonts w:ascii="Arial" w:hAnsi="Arial"/>
          <w:i/>
          <w:sz w:val="22"/>
          <w:szCs w:val="22"/>
          <w:lang w:val="es-ES_tradnl"/>
        </w:rPr>
        <w:tab/>
      </w:r>
      <w:r w:rsidR="00C108B8" w:rsidRPr="00095152">
        <w:rPr>
          <w:rFonts w:ascii="Arial" w:hAnsi="Arial"/>
          <w:i/>
          <w:iCs/>
          <w:sz w:val="22"/>
          <w:szCs w:val="22"/>
          <w:u w:val="single"/>
          <w:lang w:val="es-ES_tradnl"/>
        </w:rPr>
        <w:t>Apoyo y aprovechamiento de las iniciativas prioritarias/complementarias en la cadena de valor</w:t>
      </w:r>
    </w:p>
    <w:p w14:paraId="075536D1" w14:textId="160CCB1F"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21.</w:t>
      </w:r>
      <w:r w:rsidRPr="00095152">
        <w:rPr>
          <w:rFonts w:ascii="Arial" w:hAnsi="Arial"/>
          <w:bCs/>
          <w:iCs/>
          <w:sz w:val="22"/>
          <w:szCs w:val="22"/>
          <w:lang w:val="es-ES_tradnl"/>
        </w:rPr>
        <w:tab/>
      </w:r>
      <w:r w:rsidR="00FD6965" w:rsidRPr="00095152">
        <w:rPr>
          <w:rFonts w:ascii="Arial" w:hAnsi="Arial"/>
          <w:sz w:val="22"/>
          <w:szCs w:val="22"/>
          <w:lang w:val="es-ES_tradnl"/>
        </w:rPr>
        <w:t xml:space="preserve">La esencia </w:t>
      </w:r>
      <w:r w:rsidR="00C108B8" w:rsidRPr="00095152">
        <w:rPr>
          <w:rFonts w:ascii="Arial" w:hAnsi="Arial"/>
          <w:sz w:val="22"/>
          <w:szCs w:val="22"/>
          <w:lang w:val="es-ES_tradnl"/>
        </w:rPr>
        <w:t>de la colaboración</w:t>
      </w:r>
      <w:r w:rsidR="001C56D4" w:rsidRPr="00095152">
        <w:rPr>
          <w:rFonts w:ascii="Arial" w:hAnsi="Arial"/>
          <w:sz w:val="22"/>
          <w:szCs w:val="22"/>
          <w:lang w:val="es-ES_tradnl"/>
        </w:rPr>
        <w:t xml:space="preserve"> en materia</w:t>
      </w:r>
      <w:r w:rsidR="00C108B8" w:rsidRPr="00095152">
        <w:rPr>
          <w:rFonts w:ascii="Arial" w:hAnsi="Arial"/>
          <w:sz w:val="22"/>
          <w:szCs w:val="22"/>
          <w:lang w:val="es-ES_tradnl"/>
        </w:rPr>
        <w:t xml:space="preserve"> oceánica entre la COI y la OMM </w:t>
      </w:r>
      <w:r w:rsidR="00FD6965" w:rsidRPr="00095152">
        <w:rPr>
          <w:rFonts w:ascii="Arial" w:hAnsi="Arial"/>
          <w:sz w:val="22"/>
          <w:szCs w:val="22"/>
          <w:lang w:val="es-ES_tradnl"/>
        </w:rPr>
        <w:t>radica en</w:t>
      </w:r>
      <w:r w:rsidR="00C108B8" w:rsidRPr="00095152">
        <w:rPr>
          <w:rFonts w:ascii="Arial" w:hAnsi="Arial"/>
          <w:sz w:val="22"/>
          <w:szCs w:val="22"/>
          <w:lang w:val="es-ES_tradnl"/>
        </w:rPr>
        <w:t xml:space="preserve"> que ambos organismos apoyen las iniciativas prioritarias y complementarias a lo largo de la cadena de valor y las aprovechen. En este sentido, el refuerzo de la colaboración en toda la cadena de valor promoverá </w:t>
      </w:r>
      <w:r w:rsidR="00F87B30" w:rsidRPr="00095152">
        <w:rPr>
          <w:rFonts w:ascii="Arial" w:hAnsi="Arial"/>
          <w:sz w:val="22"/>
          <w:szCs w:val="22"/>
          <w:lang w:val="es-ES_tradnl"/>
        </w:rPr>
        <w:t>el propósito</w:t>
      </w:r>
      <w:r w:rsidR="00C108B8" w:rsidRPr="00095152">
        <w:rPr>
          <w:rFonts w:ascii="Arial" w:hAnsi="Arial"/>
          <w:sz w:val="22"/>
          <w:szCs w:val="22"/>
          <w:lang w:val="es-ES_tradnl"/>
        </w:rPr>
        <w:t xml:space="preserve"> de </w:t>
      </w:r>
      <w:r w:rsidR="00A535BF" w:rsidRPr="00095152">
        <w:rPr>
          <w:rFonts w:ascii="Arial" w:hAnsi="Arial"/>
          <w:sz w:val="22"/>
          <w:szCs w:val="22"/>
          <w:lang w:val="es-ES_tradnl"/>
        </w:rPr>
        <w:t xml:space="preserve">contar </w:t>
      </w:r>
      <w:r w:rsidR="00121FFA" w:rsidRPr="00095152">
        <w:rPr>
          <w:rFonts w:ascii="Arial" w:hAnsi="Arial"/>
          <w:sz w:val="22"/>
          <w:szCs w:val="22"/>
          <w:lang w:val="es-ES_tradnl"/>
        </w:rPr>
        <w:t xml:space="preserve">con </w:t>
      </w:r>
      <w:r w:rsidR="00C108B8" w:rsidRPr="00095152">
        <w:rPr>
          <w:rFonts w:ascii="Arial" w:hAnsi="Arial"/>
          <w:sz w:val="22"/>
          <w:szCs w:val="22"/>
          <w:lang w:val="es-ES_tradnl"/>
        </w:rPr>
        <w:t xml:space="preserve">un sistema integral </w:t>
      </w:r>
      <w:r w:rsidR="0045616E" w:rsidRPr="00095152">
        <w:rPr>
          <w:rFonts w:ascii="Arial" w:hAnsi="Arial"/>
          <w:sz w:val="22"/>
          <w:szCs w:val="22"/>
          <w:lang w:val="es-ES_tradnl"/>
        </w:rPr>
        <w:t>de transición de</w:t>
      </w:r>
      <w:r w:rsidR="00121FFA" w:rsidRPr="00095152">
        <w:rPr>
          <w:rFonts w:ascii="Arial" w:hAnsi="Arial"/>
          <w:sz w:val="22"/>
          <w:szCs w:val="22"/>
          <w:lang w:val="es-ES_tradnl"/>
        </w:rPr>
        <w:t xml:space="preserve"> la</w:t>
      </w:r>
      <w:r w:rsidR="00AA25AC" w:rsidRPr="00095152">
        <w:rPr>
          <w:rFonts w:ascii="Arial" w:hAnsi="Arial"/>
          <w:sz w:val="22"/>
          <w:szCs w:val="22"/>
          <w:lang w:val="es-ES_tradnl"/>
        </w:rPr>
        <w:t>s</w:t>
      </w:r>
      <w:r w:rsidR="00121FFA" w:rsidRPr="00095152">
        <w:rPr>
          <w:rFonts w:ascii="Arial" w:hAnsi="Arial"/>
          <w:sz w:val="22"/>
          <w:szCs w:val="22"/>
          <w:lang w:val="es-ES_tradnl"/>
        </w:rPr>
        <w:t xml:space="preserve"> investigaci</w:t>
      </w:r>
      <w:r w:rsidR="00AA25AC" w:rsidRPr="00095152">
        <w:rPr>
          <w:rFonts w:ascii="Arial" w:hAnsi="Arial"/>
          <w:sz w:val="22"/>
          <w:szCs w:val="22"/>
          <w:lang w:val="es-ES_tradnl"/>
        </w:rPr>
        <w:t>o</w:t>
      </w:r>
      <w:r w:rsidR="00121FFA" w:rsidRPr="00095152">
        <w:rPr>
          <w:rFonts w:ascii="Arial" w:hAnsi="Arial"/>
          <w:sz w:val="22"/>
          <w:szCs w:val="22"/>
          <w:lang w:val="es-ES_tradnl"/>
        </w:rPr>
        <w:t>n</w:t>
      </w:r>
      <w:r w:rsidR="00AA25AC" w:rsidRPr="00095152">
        <w:rPr>
          <w:rFonts w:ascii="Arial" w:hAnsi="Arial"/>
          <w:sz w:val="22"/>
          <w:szCs w:val="22"/>
          <w:lang w:val="es-ES_tradnl"/>
        </w:rPr>
        <w:t>es</w:t>
      </w:r>
      <w:r w:rsidR="00121FFA" w:rsidRPr="00095152">
        <w:rPr>
          <w:rFonts w:ascii="Arial" w:hAnsi="Arial"/>
          <w:sz w:val="22"/>
          <w:szCs w:val="22"/>
          <w:lang w:val="es-ES_tradnl"/>
        </w:rPr>
        <w:t xml:space="preserve"> </w:t>
      </w:r>
      <w:r w:rsidR="0045616E" w:rsidRPr="00095152">
        <w:rPr>
          <w:rFonts w:ascii="Arial" w:hAnsi="Arial"/>
          <w:sz w:val="22"/>
          <w:szCs w:val="22"/>
          <w:lang w:val="es-ES_tradnl"/>
        </w:rPr>
        <w:t>a</w:t>
      </w:r>
      <w:r w:rsidR="00121FFA" w:rsidRPr="00095152">
        <w:rPr>
          <w:rFonts w:ascii="Arial" w:hAnsi="Arial"/>
          <w:sz w:val="22"/>
          <w:szCs w:val="22"/>
          <w:lang w:val="es-ES_tradnl"/>
        </w:rPr>
        <w:t xml:space="preserve"> las </w:t>
      </w:r>
      <w:r w:rsidR="00C108B8" w:rsidRPr="00095152">
        <w:rPr>
          <w:rFonts w:ascii="Arial" w:hAnsi="Arial"/>
          <w:sz w:val="22"/>
          <w:szCs w:val="22"/>
          <w:lang w:val="es-ES_tradnl"/>
        </w:rPr>
        <w:t>operaciones sin discontinuidad</w:t>
      </w:r>
      <w:r w:rsidR="007B2E59" w:rsidRPr="00095152">
        <w:rPr>
          <w:rFonts w:ascii="Arial" w:hAnsi="Arial"/>
          <w:sz w:val="22"/>
          <w:szCs w:val="22"/>
          <w:lang w:val="es-ES_tradnl"/>
        </w:rPr>
        <w:t>,</w:t>
      </w:r>
      <w:r w:rsidR="00C108B8" w:rsidRPr="00095152">
        <w:rPr>
          <w:rFonts w:ascii="Arial" w:hAnsi="Arial"/>
          <w:sz w:val="22"/>
          <w:szCs w:val="22"/>
          <w:lang w:val="es-ES_tradnl"/>
        </w:rPr>
        <w:t xml:space="preserve"> que ofrezca resultados finales tangibles y eficaces. Además, la reducción de las deficiencias en la labor complementaria de las organizaciones aumentaría los beneficios para los usuarios y las partes interesadas. Teniendo en cuenta toda la cadena de valor, algunas de las principales iniciativas emblemáticas en las que hay que centrarse son las siguientes:</w:t>
      </w:r>
    </w:p>
    <w:p w14:paraId="6B249C6E" w14:textId="0E62AE63"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lastRenderedPageBreak/>
        <w:t>●</w:t>
      </w:r>
      <w:r w:rsidRPr="00095152">
        <w:rPr>
          <w:rFonts w:ascii="Arial" w:hAnsi="Arial"/>
          <w:sz w:val="22"/>
          <w:szCs w:val="22"/>
          <w:lang w:val="es-ES_tradnl"/>
        </w:rPr>
        <w:tab/>
      </w:r>
      <w:r w:rsidR="00C108B8" w:rsidRPr="00095152">
        <w:rPr>
          <w:rFonts w:ascii="Arial" w:hAnsi="Arial"/>
          <w:sz w:val="22"/>
          <w:szCs w:val="22"/>
          <w:lang w:val="es-ES_tradnl"/>
        </w:rPr>
        <w:t xml:space="preserve">Investigación: Fomentar la innovación en colaboración de las comunidades de la OMM y la COI sobre el acoplamiento y el intercambio océano-atmósfera para apoyar los avances en la amplia gama de ciencias meteorológicas, climáticas y oceánicas en pos del desarrollo sostenible. </w:t>
      </w:r>
    </w:p>
    <w:p w14:paraId="7692241D" w14:textId="17E38499"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Observaciones: </w:t>
      </w:r>
      <w:r w:rsidR="00524F96" w:rsidRPr="00095152">
        <w:rPr>
          <w:rFonts w:ascii="Arial" w:hAnsi="Arial"/>
          <w:sz w:val="22"/>
          <w:szCs w:val="22"/>
          <w:lang w:val="es-ES_tradnl"/>
        </w:rPr>
        <w:t xml:space="preserve">Definir </w:t>
      </w:r>
      <w:r w:rsidR="00C108B8" w:rsidRPr="00095152">
        <w:rPr>
          <w:rFonts w:ascii="Arial" w:hAnsi="Arial"/>
          <w:sz w:val="22"/>
          <w:szCs w:val="22"/>
          <w:lang w:val="es-ES_tradnl"/>
        </w:rPr>
        <w:t xml:space="preserve">y apoyar colectivamente las observaciones (tanto </w:t>
      </w:r>
      <w:r w:rsidR="00790B07" w:rsidRPr="00095152">
        <w:rPr>
          <w:rFonts w:ascii="Arial" w:hAnsi="Arial"/>
          <w:sz w:val="22"/>
          <w:szCs w:val="22"/>
          <w:lang w:val="es-ES_tradnl"/>
        </w:rPr>
        <w:t>sateli</w:t>
      </w:r>
      <w:r w:rsidR="00D726FE" w:rsidRPr="00095152">
        <w:rPr>
          <w:rFonts w:ascii="Arial" w:hAnsi="Arial"/>
          <w:sz w:val="22"/>
          <w:szCs w:val="22"/>
          <w:lang w:val="es-ES_tradnl"/>
        </w:rPr>
        <w:t>tales</w:t>
      </w:r>
      <w:r w:rsidR="00C108B8" w:rsidRPr="00095152">
        <w:rPr>
          <w:rFonts w:ascii="Arial" w:hAnsi="Arial"/>
          <w:sz w:val="22"/>
          <w:szCs w:val="22"/>
          <w:lang w:val="es-ES_tradnl"/>
        </w:rPr>
        <w:t xml:space="preserve"> como </w:t>
      </w:r>
      <w:r w:rsidR="00C108B8" w:rsidRPr="00095152">
        <w:rPr>
          <w:rFonts w:ascii="Arial" w:hAnsi="Arial"/>
          <w:i/>
          <w:iCs/>
          <w:sz w:val="22"/>
          <w:szCs w:val="22"/>
          <w:lang w:val="es-ES_tradnl"/>
        </w:rPr>
        <w:t>in situ</w:t>
      </w:r>
      <w:r w:rsidR="00C108B8" w:rsidRPr="00095152">
        <w:rPr>
          <w:rFonts w:ascii="Arial" w:hAnsi="Arial"/>
          <w:sz w:val="22"/>
          <w:szCs w:val="22"/>
          <w:lang w:val="es-ES_tradnl"/>
        </w:rPr>
        <w:t xml:space="preserve">) que tengan el mayor impacto en función de las necesidades y la prestación de servicios mutuamente armonizados mediante el diseño óptimo de las redes, al tiempo que se fortalecen las alianzas internacionales </w:t>
      </w:r>
      <w:r w:rsidR="00605815" w:rsidRPr="00095152">
        <w:rPr>
          <w:rFonts w:ascii="Arial" w:hAnsi="Arial"/>
          <w:sz w:val="22"/>
          <w:szCs w:val="22"/>
          <w:lang w:val="es-ES_tradnl"/>
        </w:rPr>
        <w:t>para</w:t>
      </w:r>
      <w:r w:rsidR="00C108B8" w:rsidRPr="00095152">
        <w:rPr>
          <w:rFonts w:ascii="Arial" w:hAnsi="Arial"/>
          <w:sz w:val="22"/>
          <w:szCs w:val="22"/>
          <w:lang w:val="es-ES_tradnl"/>
        </w:rPr>
        <w:t xml:space="preserve"> mantener los sistemas de observación de los océanos</w:t>
      </w:r>
      <w:r w:rsidR="00045FDC" w:rsidRPr="00095152">
        <w:rPr>
          <w:rFonts w:ascii="Arial" w:hAnsi="Arial"/>
          <w:sz w:val="22"/>
          <w:szCs w:val="22"/>
          <w:lang w:val="es-ES_tradnl"/>
        </w:rPr>
        <w:t xml:space="preserve"> </w:t>
      </w:r>
      <w:r w:rsidR="00327D41" w:rsidRPr="00095152">
        <w:rPr>
          <w:rFonts w:ascii="Arial" w:hAnsi="Arial"/>
          <w:sz w:val="22"/>
          <w:szCs w:val="22"/>
          <w:lang w:val="es-ES_tradnl"/>
        </w:rPr>
        <w:t xml:space="preserve">y se vinculan </w:t>
      </w:r>
      <w:r w:rsidR="00C108B8" w:rsidRPr="00095152">
        <w:rPr>
          <w:rFonts w:ascii="Arial" w:hAnsi="Arial"/>
          <w:sz w:val="22"/>
          <w:szCs w:val="22"/>
          <w:lang w:val="es-ES_tradnl"/>
        </w:rPr>
        <w:t>las actividades de investigación y las operaciones.</w:t>
      </w:r>
    </w:p>
    <w:p w14:paraId="5F806BFD" w14:textId="57B6B8FC"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Gestión de datos: Coordinar las actividades de divulgación en el seno de las comunidades de la COI y la OMM para determinar las necesidades de uso y suministro de datos e información en torno a la prestación de servicios y productos </w:t>
      </w:r>
      <w:r w:rsidR="00293E35" w:rsidRPr="00095152">
        <w:rPr>
          <w:rFonts w:ascii="Arial" w:hAnsi="Arial"/>
          <w:sz w:val="22"/>
          <w:szCs w:val="22"/>
          <w:lang w:val="es-ES_tradnl"/>
        </w:rPr>
        <w:t xml:space="preserve">idóneos </w:t>
      </w:r>
      <w:r w:rsidR="00C108B8" w:rsidRPr="00095152">
        <w:rPr>
          <w:rFonts w:ascii="Arial" w:hAnsi="Arial"/>
          <w:sz w:val="22"/>
          <w:szCs w:val="22"/>
          <w:lang w:val="es-ES_tradnl"/>
        </w:rPr>
        <w:t xml:space="preserve">de interés mutuo. Esto incluiría la determinación de deficiencias, la armonización de las políticas de datos, la elaboración de una estrategia común, el fomento del suministro y </w:t>
      </w:r>
      <w:r w:rsidR="00543C44" w:rsidRPr="00095152">
        <w:rPr>
          <w:rFonts w:ascii="Arial" w:hAnsi="Arial"/>
          <w:sz w:val="22"/>
          <w:szCs w:val="22"/>
          <w:lang w:val="es-ES_tradnl"/>
        </w:rPr>
        <w:t>el uso</w:t>
      </w:r>
      <w:r w:rsidR="00B41E52" w:rsidRPr="00095152">
        <w:rPr>
          <w:rFonts w:ascii="Arial" w:hAnsi="Arial"/>
          <w:sz w:val="22"/>
          <w:szCs w:val="22"/>
          <w:lang w:val="es-ES_tradnl"/>
        </w:rPr>
        <w:t xml:space="preserve"> </w:t>
      </w:r>
      <w:r w:rsidR="00C108B8" w:rsidRPr="00095152">
        <w:rPr>
          <w:rFonts w:ascii="Arial" w:hAnsi="Arial"/>
          <w:sz w:val="22"/>
          <w:szCs w:val="22"/>
          <w:lang w:val="es-ES_tradnl"/>
        </w:rPr>
        <w:t>generalizados de datos en un amplio sector de partes interesadas, y la participación de los Miembros y los Estados Miembros en la elaboración de proyectos conjuntos de datos.</w:t>
      </w:r>
    </w:p>
    <w:p w14:paraId="5CBBA1B3" w14:textId="2DD822AB"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 xml:space="preserve">Predicciones: Determinar las acciones prioritarias </w:t>
      </w:r>
      <w:r w:rsidR="003C3086" w:rsidRPr="00095152">
        <w:rPr>
          <w:rFonts w:ascii="Arial" w:hAnsi="Arial"/>
          <w:sz w:val="22"/>
          <w:szCs w:val="22"/>
          <w:lang w:val="es-ES_tradnl"/>
        </w:rPr>
        <w:t>de transición de</w:t>
      </w:r>
      <w:r w:rsidR="00C85FA6" w:rsidRPr="00095152">
        <w:rPr>
          <w:rFonts w:ascii="Arial" w:hAnsi="Arial"/>
          <w:sz w:val="22"/>
          <w:szCs w:val="22"/>
          <w:lang w:val="es-ES_tradnl"/>
        </w:rPr>
        <w:t xml:space="preserve"> las</w:t>
      </w:r>
      <w:r w:rsidR="00C108B8" w:rsidRPr="00095152">
        <w:rPr>
          <w:rFonts w:ascii="Arial" w:hAnsi="Arial"/>
          <w:sz w:val="22"/>
          <w:szCs w:val="22"/>
          <w:lang w:val="es-ES_tradnl"/>
        </w:rPr>
        <w:t xml:space="preserve"> investigaciones </w:t>
      </w:r>
      <w:r w:rsidR="003C3086" w:rsidRPr="00095152">
        <w:rPr>
          <w:rFonts w:ascii="Arial" w:hAnsi="Arial"/>
          <w:sz w:val="22"/>
          <w:szCs w:val="22"/>
          <w:lang w:val="es-ES_tradnl"/>
        </w:rPr>
        <w:t>a</w:t>
      </w:r>
      <w:r w:rsidR="00C108B8" w:rsidRPr="00095152">
        <w:rPr>
          <w:rFonts w:ascii="Arial" w:hAnsi="Arial"/>
          <w:sz w:val="22"/>
          <w:szCs w:val="22"/>
          <w:lang w:val="es-ES_tradnl"/>
        </w:rPr>
        <w:t xml:space="preserve"> </w:t>
      </w:r>
      <w:r w:rsidR="00C85FA6" w:rsidRPr="00095152">
        <w:rPr>
          <w:rFonts w:ascii="Arial" w:hAnsi="Arial"/>
          <w:sz w:val="22"/>
          <w:szCs w:val="22"/>
          <w:lang w:val="es-ES_tradnl"/>
        </w:rPr>
        <w:t xml:space="preserve">las </w:t>
      </w:r>
      <w:r w:rsidR="00C108B8" w:rsidRPr="00095152">
        <w:rPr>
          <w:rFonts w:ascii="Arial" w:hAnsi="Arial"/>
          <w:sz w:val="22"/>
          <w:szCs w:val="22"/>
          <w:lang w:val="es-ES_tradnl"/>
        </w:rPr>
        <w:t xml:space="preserve">operaciones y </w:t>
      </w:r>
      <w:r w:rsidR="003C3086" w:rsidRPr="00095152">
        <w:rPr>
          <w:rFonts w:ascii="Arial" w:hAnsi="Arial"/>
          <w:sz w:val="22"/>
          <w:szCs w:val="22"/>
          <w:lang w:val="es-ES_tradnl"/>
        </w:rPr>
        <w:t>de</w:t>
      </w:r>
      <w:r w:rsidR="00C85FA6" w:rsidRPr="00095152">
        <w:rPr>
          <w:rFonts w:ascii="Arial" w:hAnsi="Arial"/>
          <w:sz w:val="22"/>
          <w:szCs w:val="22"/>
          <w:lang w:val="es-ES_tradnl"/>
        </w:rPr>
        <w:t xml:space="preserve"> las</w:t>
      </w:r>
      <w:r w:rsidR="00C108B8" w:rsidRPr="00095152">
        <w:rPr>
          <w:rFonts w:ascii="Arial" w:hAnsi="Arial"/>
          <w:sz w:val="22"/>
          <w:szCs w:val="22"/>
          <w:lang w:val="es-ES_tradnl"/>
        </w:rPr>
        <w:t xml:space="preserve"> operaciones </w:t>
      </w:r>
      <w:r w:rsidR="003C3086" w:rsidRPr="00095152">
        <w:rPr>
          <w:rFonts w:ascii="Arial" w:hAnsi="Arial"/>
          <w:sz w:val="22"/>
          <w:szCs w:val="22"/>
          <w:lang w:val="es-ES_tradnl"/>
        </w:rPr>
        <w:t>a</w:t>
      </w:r>
      <w:r w:rsidR="0035041D" w:rsidRPr="00095152">
        <w:rPr>
          <w:rFonts w:ascii="Arial" w:hAnsi="Arial"/>
          <w:sz w:val="22"/>
          <w:szCs w:val="22"/>
          <w:lang w:val="es-ES_tradnl"/>
        </w:rPr>
        <w:t xml:space="preserve"> </w:t>
      </w:r>
      <w:r w:rsidR="00C85FA6" w:rsidRPr="00095152">
        <w:rPr>
          <w:rFonts w:ascii="Arial" w:hAnsi="Arial"/>
          <w:sz w:val="22"/>
          <w:szCs w:val="22"/>
          <w:lang w:val="es-ES_tradnl"/>
        </w:rPr>
        <w:t xml:space="preserve">las </w:t>
      </w:r>
      <w:r w:rsidR="00C108B8" w:rsidRPr="00095152">
        <w:rPr>
          <w:rFonts w:ascii="Arial" w:hAnsi="Arial"/>
          <w:sz w:val="22"/>
          <w:szCs w:val="22"/>
          <w:lang w:val="es-ES_tradnl"/>
        </w:rPr>
        <w:t>investigaciones como proyectos acordados conjuntamente por las comunidades de investigación y de operaciones, centrándose en esferas temáticas comunes, como las condiciones meteorológicas marinas de alto impacto, los proyectos de predicción polar y subestacional a estacional, incluido su diseño conjunto, en función de las necesidades de los usuarios y los avances de las investigaciones.</w:t>
      </w:r>
    </w:p>
    <w:p w14:paraId="2537333C" w14:textId="784C9AB6" w:rsidR="00C108B8" w:rsidRPr="00095152" w:rsidRDefault="00A73666" w:rsidP="00095152">
      <w:pPr>
        <w:tabs>
          <w:tab w:val="clear" w:pos="1134"/>
        </w:tabs>
        <w:snapToGrid w:val="0"/>
        <w:spacing w:after="240"/>
        <w:ind w:left="1134" w:hanging="567"/>
        <w:rPr>
          <w:rFonts w:ascii="Arial" w:hAnsi="Arial"/>
          <w:sz w:val="22"/>
          <w:szCs w:val="22"/>
          <w:lang w:val="es-ES_tradnl"/>
        </w:rPr>
      </w:pPr>
      <w:r w:rsidRPr="00095152">
        <w:rPr>
          <w:rFonts w:ascii="Arial" w:hAnsi="Arial"/>
          <w:sz w:val="22"/>
          <w:szCs w:val="22"/>
          <w:lang w:val="es-ES_tradnl"/>
        </w:rPr>
        <w:t>●</w:t>
      </w:r>
      <w:r w:rsidRPr="00095152">
        <w:rPr>
          <w:rFonts w:ascii="Arial" w:hAnsi="Arial"/>
          <w:sz w:val="22"/>
          <w:szCs w:val="22"/>
          <w:lang w:val="es-ES_tradnl"/>
        </w:rPr>
        <w:tab/>
      </w:r>
      <w:r w:rsidR="00C108B8" w:rsidRPr="00095152">
        <w:rPr>
          <w:rFonts w:ascii="Arial" w:hAnsi="Arial"/>
          <w:sz w:val="22"/>
          <w:szCs w:val="22"/>
          <w:lang w:val="es-ES_tradnl"/>
        </w:rPr>
        <w:t>Servicios: Crear un marco para abordar globalmente las inundaciones costeras, las emergencias medioambientales marinas y los fenómenos meteorológicos marinos y costeros peligrosos en un sistema de alerta temprana multirriesgos, a través del cual los usuarios puedan acceder a predicciones y alertas tempranas precisas y de fuentes autorizadas en el mar y a lo largo de la costa. Facilitar una mejor gestión de los riesgos de la variabilidad del clima y el cambio climático y la adaptación al cambio climático a través de información, interfaces de usuario y servicios climáticos.</w:t>
      </w:r>
    </w:p>
    <w:p w14:paraId="51B54B27" w14:textId="32E78E58"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22.</w:t>
      </w:r>
      <w:r w:rsidRPr="00095152">
        <w:rPr>
          <w:rFonts w:ascii="Arial" w:hAnsi="Arial"/>
          <w:bCs/>
          <w:iCs/>
          <w:sz w:val="22"/>
          <w:szCs w:val="22"/>
          <w:lang w:val="es-ES_tradnl"/>
        </w:rPr>
        <w:tab/>
      </w:r>
      <w:r w:rsidR="00C108B8" w:rsidRPr="00095152">
        <w:rPr>
          <w:rFonts w:ascii="Arial" w:hAnsi="Arial"/>
          <w:sz w:val="22"/>
          <w:szCs w:val="22"/>
          <w:lang w:val="es-ES_tradnl"/>
        </w:rPr>
        <w:t xml:space="preserve">En lo que respecta a las iniciativas copatrocinadas formales </w:t>
      </w:r>
      <w:r w:rsidR="00DB5EB8" w:rsidRPr="00095152">
        <w:rPr>
          <w:rFonts w:ascii="Arial" w:hAnsi="Arial"/>
          <w:sz w:val="22"/>
          <w:szCs w:val="22"/>
          <w:lang w:val="es-ES_tradnl"/>
        </w:rPr>
        <w:t xml:space="preserve">en curso </w:t>
      </w:r>
      <w:r w:rsidR="00C108B8" w:rsidRPr="00095152">
        <w:rPr>
          <w:rFonts w:ascii="Arial" w:hAnsi="Arial"/>
          <w:sz w:val="22"/>
          <w:szCs w:val="22"/>
          <w:lang w:val="es-ES_tradnl"/>
        </w:rPr>
        <w:t xml:space="preserve">de la OMM y la COI, a saber, el Sistema Mundial de Observación del Océano (GOOS), el Sistema Mundial de Observación del Clima (SMOC) y el Programa Mundial de Investigaciones Climáticas (PMIC), es importante seguir reforzándolas en el </w:t>
      </w:r>
      <w:r w:rsidR="00095D0C" w:rsidRPr="00095152">
        <w:rPr>
          <w:rFonts w:ascii="Arial" w:hAnsi="Arial"/>
          <w:sz w:val="22"/>
          <w:szCs w:val="22"/>
          <w:lang w:val="es-ES_tradnl"/>
        </w:rPr>
        <w:t>marco</w:t>
      </w:r>
      <w:r w:rsidR="00C108B8" w:rsidRPr="00095152">
        <w:rPr>
          <w:rFonts w:ascii="Arial" w:hAnsi="Arial"/>
          <w:sz w:val="22"/>
          <w:szCs w:val="22"/>
          <w:lang w:val="es-ES_tradnl"/>
        </w:rPr>
        <w:t xml:space="preserve"> de la presente estrategia, junto con los demás copatrocinadores. </w:t>
      </w:r>
    </w:p>
    <w:p w14:paraId="33110683" w14:textId="3A323CD3"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23.</w:t>
      </w:r>
      <w:r w:rsidRPr="00095152">
        <w:rPr>
          <w:rFonts w:ascii="Arial" w:hAnsi="Arial"/>
          <w:bCs/>
          <w:iCs/>
          <w:sz w:val="22"/>
          <w:szCs w:val="22"/>
          <w:lang w:val="es-ES_tradnl"/>
        </w:rPr>
        <w:tab/>
      </w:r>
      <w:r w:rsidR="00FB1DA9" w:rsidRPr="00095152">
        <w:rPr>
          <w:rFonts w:ascii="Arial" w:hAnsi="Arial"/>
          <w:sz w:val="22"/>
          <w:szCs w:val="22"/>
          <w:lang w:val="es-ES_tradnl"/>
        </w:rPr>
        <w:t>L</w:t>
      </w:r>
      <w:r w:rsidR="00C108B8" w:rsidRPr="00095152">
        <w:rPr>
          <w:rFonts w:ascii="Arial" w:hAnsi="Arial"/>
          <w:sz w:val="22"/>
          <w:szCs w:val="22"/>
          <w:lang w:val="es-ES_tradnl"/>
        </w:rPr>
        <w:t>a evaluación de la disponibilidad de una mayor cantidad de observaciones, datos, predicciones y servicios oportunos para los organismos meteorológicos y oceánicos</w:t>
      </w:r>
      <w:r w:rsidR="00546B88" w:rsidRPr="00095152">
        <w:rPr>
          <w:rFonts w:ascii="Arial" w:hAnsi="Arial"/>
          <w:sz w:val="22"/>
          <w:szCs w:val="22"/>
          <w:lang w:val="es-ES_tradnl"/>
        </w:rPr>
        <w:t>, así como su seguimiento,</w:t>
      </w:r>
      <w:r w:rsidR="00C108B8" w:rsidRPr="00095152">
        <w:rPr>
          <w:rFonts w:ascii="Arial" w:hAnsi="Arial"/>
          <w:sz w:val="22"/>
          <w:szCs w:val="22"/>
          <w:lang w:val="es-ES_tradnl"/>
        </w:rPr>
        <w:t xml:space="preserve"> </w:t>
      </w:r>
      <w:r w:rsidR="00EA6F96" w:rsidRPr="00095152">
        <w:rPr>
          <w:rFonts w:ascii="Arial" w:hAnsi="Arial"/>
          <w:sz w:val="22"/>
          <w:szCs w:val="22"/>
          <w:lang w:val="es-ES_tradnl"/>
        </w:rPr>
        <w:t>serían útiles</w:t>
      </w:r>
      <w:r w:rsidR="00C108B8" w:rsidRPr="00095152">
        <w:rPr>
          <w:rFonts w:ascii="Arial" w:hAnsi="Arial"/>
          <w:sz w:val="22"/>
          <w:szCs w:val="22"/>
          <w:lang w:val="es-ES_tradnl"/>
        </w:rPr>
        <w:t xml:space="preserve"> para medir los resultados satisfactorios de este enfoque.</w:t>
      </w:r>
    </w:p>
    <w:p w14:paraId="2F33A649" w14:textId="5BE60B50" w:rsidR="00C108B8" w:rsidRPr="00095152" w:rsidRDefault="00A73666" w:rsidP="00095152">
      <w:pPr>
        <w:tabs>
          <w:tab w:val="clear" w:pos="1134"/>
          <w:tab w:val="left" w:pos="567"/>
        </w:tabs>
        <w:snapToGrid w:val="0"/>
        <w:spacing w:after="240"/>
        <w:rPr>
          <w:rFonts w:ascii="Arial" w:hAnsi="Arial"/>
          <w:sz w:val="22"/>
          <w:szCs w:val="22"/>
          <w:lang w:val="es-ES_tradnl"/>
        </w:rPr>
      </w:pPr>
      <w:r w:rsidRPr="00095152">
        <w:rPr>
          <w:rFonts w:ascii="Arial" w:hAnsi="Arial"/>
          <w:bCs/>
          <w:iCs/>
          <w:sz w:val="22"/>
          <w:szCs w:val="22"/>
          <w:lang w:val="es-ES_tradnl"/>
        </w:rPr>
        <w:t>24.</w:t>
      </w:r>
      <w:r w:rsidRPr="00095152">
        <w:rPr>
          <w:rFonts w:ascii="Arial" w:hAnsi="Arial"/>
          <w:bCs/>
          <w:iCs/>
          <w:sz w:val="22"/>
          <w:szCs w:val="22"/>
          <w:lang w:val="es-ES_tradnl"/>
        </w:rPr>
        <w:tab/>
      </w:r>
      <w:r w:rsidR="000E7775" w:rsidRPr="00095152">
        <w:rPr>
          <w:rFonts w:ascii="Arial" w:hAnsi="Arial"/>
          <w:sz w:val="22"/>
          <w:szCs w:val="22"/>
          <w:lang w:val="es-ES_tradnl"/>
        </w:rPr>
        <w:t xml:space="preserve">Aprovechando </w:t>
      </w:r>
      <w:r w:rsidR="00C108B8" w:rsidRPr="00095152">
        <w:rPr>
          <w:rFonts w:ascii="Arial" w:hAnsi="Arial"/>
          <w:sz w:val="22"/>
          <w:szCs w:val="22"/>
          <w:lang w:val="es-ES_tradnl"/>
        </w:rPr>
        <w:t xml:space="preserve">el marco </w:t>
      </w:r>
      <w:r w:rsidR="000E06E5" w:rsidRPr="00095152">
        <w:rPr>
          <w:rFonts w:ascii="Arial" w:hAnsi="Arial"/>
          <w:sz w:val="22"/>
          <w:szCs w:val="22"/>
          <w:lang w:val="es-ES_tradnl"/>
        </w:rPr>
        <w:t xml:space="preserve">que </w:t>
      </w:r>
      <w:r w:rsidR="00B50F9D" w:rsidRPr="00095152">
        <w:rPr>
          <w:rFonts w:ascii="Arial" w:hAnsi="Arial"/>
          <w:sz w:val="22"/>
          <w:szCs w:val="22"/>
          <w:lang w:val="es-ES_tradnl"/>
        </w:rPr>
        <w:t>ofrece</w:t>
      </w:r>
      <w:r w:rsidR="000E06E5" w:rsidRPr="00095152">
        <w:rPr>
          <w:rFonts w:ascii="Arial" w:hAnsi="Arial"/>
          <w:sz w:val="22"/>
          <w:szCs w:val="22"/>
          <w:lang w:val="es-ES_tradnl"/>
        </w:rPr>
        <w:t xml:space="preserve"> el</w:t>
      </w:r>
      <w:r w:rsidR="00C108B8" w:rsidRPr="00095152">
        <w:rPr>
          <w:rFonts w:ascii="Arial" w:hAnsi="Arial"/>
          <w:sz w:val="22"/>
          <w:szCs w:val="22"/>
          <w:lang w:val="es-ES_tradnl"/>
        </w:rPr>
        <w:t xml:space="preserve"> Decenio del Océano, se fomenta el diseño conjunto o la </w:t>
      </w:r>
      <w:r w:rsidR="00AC4231" w:rsidRPr="00095152">
        <w:rPr>
          <w:rFonts w:ascii="Arial" w:hAnsi="Arial"/>
          <w:sz w:val="22"/>
          <w:szCs w:val="22"/>
          <w:lang w:val="es-ES_tradnl"/>
        </w:rPr>
        <w:t xml:space="preserve">reconducción </w:t>
      </w:r>
      <w:r w:rsidR="00C108B8" w:rsidRPr="00095152">
        <w:rPr>
          <w:rFonts w:ascii="Arial" w:hAnsi="Arial"/>
          <w:sz w:val="22"/>
          <w:szCs w:val="22"/>
          <w:lang w:val="es-ES_tradnl"/>
        </w:rPr>
        <w:t xml:space="preserve">de los proyectos actuales para obtener resultados de gran valor </w:t>
      </w:r>
      <w:r w:rsidR="000F62F0" w:rsidRPr="00095152">
        <w:rPr>
          <w:rFonts w:ascii="Arial" w:hAnsi="Arial"/>
          <w:sz w:val="22"/>
          <w:szCs w:val="22"/>
          <w:lang w:val="es-ES_tradnl"/>
        </w:rPr>
        <w:t>en los ámbitos</w:t>
      </w:r>
      <w:r w:rsidR="00C108B8" w:rsidRPr="00095152">
        <w:rPr>
          <w:rFonts w:ascii="Arial" w:hAnsi="Arial"/>
          <w:sz w:val="22"/>
          <w:szCs w:val="22"/>
          <w:lang w:val="es-ES_tradnl"/>
        </w:rPr>
        <w:t xml:space="preserve"> de</w:t>
      </w:r>
      <w:r w:rsidR="000F62F0" w:rsidRPr="00095152">
        <w:rPr>
          <w:rFonts w:ascii="Arial" w:hAnsi="Arial"/>
          <w:sz w:val="22"/>
          <w:szCs w:val="22"/>
          <w:lang w:val="es-ES_tradnl"/>
        </w:rPr>
        <w:t>l</w:t>
      </w:r>
      <w:r w:rsidR="00C108B8" w:rsidRPr="00095152">
        <w:rPr>
          <w:rFonts w:ascii="Arial" w:hAnsi="Arial"/>
          <w:sz w:val="22"/>
          <w:szCs w:val="22"/>
          <w:lang w:val="es-ES_tradnl"/>
        </w:rPr>
        <w:t xml:space="preserve"> tiempo, </w:t>
      </w:r>
      <w:r w:rsidR="000F62F0" w:rsidRPr="00095152">
        <w:rPr>
          <w:rFonts w:ascii="Arial" w:hAnsi="Arial"/>
          <w:sz w:val="22"/>
          <w:szCs w:val="22"/>
          <w:lang w:val="es-ES_tradnl"/>
        </w:rPr>
        <w:t xml:space="preserve">el </w:t>
      </w:r>
      <w:r w:rsidR="00C108B8" w:rsidRPr="00095152">
        <w:rPr>
          <w:rFonts w:ascii="Arial" w:hAnsi="Arial"/>
          <w:sz w:val="22"/>
          <w:szCs w:val="22"/>
          <w:lang w:val="es-ES_tradnl"/>
        </w:rPr>
        <w:t xml:space="preserve">clima y </w:t>
      </w:r>
      <w:r w:rsidR="000F62F0" w:rsidRPr="00095152">
        <w:rPr>
          <w:rFonts w:ascii="Arial" w:hAnsi="Arial"/>
          <w:sz w:val="22"/>
          <w:szCs w:val="22"/>
          <w:lang w:val="es-ES_tradnl"/>
        </w:rPr>
        <w:t xml:space="preserve">la </w:t>
      </w:r>
      <w:r w:rsidR="00C108B8" w:rsidRPr="00095152">
        <w:rPr>
          <w:rFonts w:ascii="Arial" w:hAnsi="Arial"/>
          <w:sz w:val="22"/>
          <w:szCs w:val="22"/>
          <w:lang w:val="es-ES_tradnl"/>
        </w:rPr>
        <w:t>reducción del riesgo de desastres (</w:t>
      </w:r>
      <w:r w:rsidR="002E197D" w:rsidRPr="00095152">
        <w:rPr>
          <w:rFonts w:ascii="Arial" w:hAnsi="Arial"/>
          <w:sz w:val="22"/>
          <w:szCs w:val="22"/>
          <w:lang w:val="es-ES_tradnl"/>
        </w:rPr>
        <w:t>incluidos los que se centran</w:t>
      </w:r>
      <w:r w:rsidR="00C108B8" w:rsidRPr="00095152">
        <w:rPr>
          <w:rFonts w:ascii="Arial" w:hAnsi="Arial"/>
          <w:sz w:val="22"/>
          <w:szCs w:val="22"/>
          <w:lang w:val="es-ES_tradnl"/>
        </w:rPr>
        <w:t xml:space="preserve"> en las zonas costeras y las regiones polares), </w:t>
      </w:r>
      <w:r w:rsidR="00F01434" w:rsidRPr="00095152">
        <w:rPr>
          <w:rFonts w:ascii="Arial" w:hAnsi="Arial"/>
          <w:sz w:val="22"/>
          <w:szCs w:val="22"/>
          <w:lang w:val="es-ES_tradnl"/>
        </w:rPr>
        <w:t>y para dar</w:t>
      </w:r>
      <w:r w:rsidR="00C108B8" w:rsidRPr="00095152">
        <w:rPr>
          <w:rFonts w:ascii="Arial" w:hAnsi="Arial"/>
          <w:sz w:val="22"/>
          <w:szCs w:val="22"/>
          <w:lang w:val="es-ES_tradnl"/>
        </w:rPr>
        <w:t xml:space="preserve"> respuesta a los desafíos de investigación, observación e infraestructura de datos, y, cuando sea posible, se estudi</w:t>
      </w:r>
      <w:r w:rsidR="00E15E63" w:rsidRPr="00095152">
        <w:rPr>
          <w:rFonts w:ascii="Arial" w:hAnsi="Arial"/>
          <w:sz w:val="22"/>
          <w:szCs w:val="22"/>
          <w:lang w:val="es-ES_tradnl"/>
        </w:rPr>
        <w:t>a</w:t>
      </w:r>
      <w:r w:rsidR="00C108B8" w:rsidRPr="00095152">
        <w:rPr>
          <w:rFonts w:ascii="Arial" w:hAnsi="Arial"/>
          <w:sz w:val="22"/>
          <w:szCs w:val="22"/>
          <w:lang w:val="es-ES_tradnl"/>
        </w:rPr>
        <w:t xml:space="preserve"> la posibilidad de ejecutar proyectos transversales.</w:t>
      </w:r>
    </w:p>
    <w:p w14:paraId="5476BAE2" w14:textId="77777777" w:rsidR="00963252" w:rsidRPr="00095152" w:rsidRDefault="00963252" w:rsidP="00095152">
      <w:pPr>
        <w:tabs>
          <w:tab w:val="clear" w:pos="1134"/>
        </w:tabs>
        <w:snapToGrid w:val="0"/>
        <w:spacing w:after="240"/>
        <w:rPr>
          <w:rFonts w:ascii="Arial" w:hAnsi="Arial"/>
          <w:i/>
          <w:sz w:val="22"/>
          <w:szCs w:val="22"/>
          <w:lang w:val="es-ES_tradnl"/>
        </w:rPr>
      </w:pPr>
      <w:r w:rsidRPr="00095152">
        <w:rPr>
          <w:rFonts w:ascii="Arial" w:hAnsi="Arial"/>
          <w:i/>
          <w:sz w:val="22"/>
          <w:szCs w:val="22"/>
          <w:lang w:val="es-ES_tradnl"/>
        </w:rPr>
        <w:br w:type="page"/>
      </w:r>
    </w:p>
    <w:p w14:paraId="6B7EF810" w14:textId="2DF2BE2E" w:rsidR="00C108B8" w:rsidRPr="00095152" w:rsidRDefault="00A73666" w:rsidP="00095152">
      <w:pPr>
        <w:tabs>
          <w:tab w:val="clear" w:pos="1134"/>
        </w:tabs>
        <w:snapToGrid w:val="0"/>
        <w:spacing w:after="240"/>
        <w:ind w:left="1134" w:hanging="567"/>
        <w:rPr>
          <w:rFonts w:asciiTheme="minorBidi" w:hAnsiTheme="minorBidi" w:cstheme="minorBidi"/>
          <w:i/>
          <w:sz w:val="22"/>
          <w:szCs w:val="22"/>
          <w:u w:val="single"/>
          <w:lang w:val="es-ES_tradnl"/>
        </w:rPr>
      </w:pPr>
      <w:r w:rsidRPr="00095152">
        <w:rPr>
          <w:rFonts w:asciiTheme="minorBidi" w:hAnsiTheme="minorBidi" w:cstheme="minorBidi"/>
          <w:i/>
          <w:sz w:val="22"/>
          <w:szCs w:val="22"/>
          <w:lang w:val="es-ES_tradnl"/>
        </w:rPr>
        <w:lastRenderedPageBreak/>
        <w:t>5.</w:t>
      </w:r>
      <w:r w:rsidRPr="00095152">
        <w:rPr>
          <w:rFonts w:asciiTheme="minorBidi" w:hAnsiTheme="minorBidi" w:cstheme="minorBidi"/>
          <w:i/>
          <w:sz w:val="22"/>
          <w:szCs w:val="22"/>
          <w:lang w:val="es-ES_tradnl"/>
        </w:rPr>
        <w:tab/>
      </w:r>
      <w:r w:rsidR="00C108B8" w:rsidRPr="00095152">
        <w:rPr>
          <w:rFonts w:asciiTheme="minorBidi" w:hAnsiTheme="minorBidi" w:cstheme="minorBidi"/>
          <w:i/>
          <w:iCs/>
          <w:sz w:val="22"/>
          <w:szCs w:val="22"/>
          <w:u w:val="single"/>
          <w:lang w:val="es-ES_tradnl"/>
        </w:rPr>
        <w:t>Cooperación en el desarrollo de capacidad cuando haya un beneficio mutuo</w:t>
      </w:r>
    </w:p>
    <w:p w14:paraId="00FF6AD6" w14:textId="24EB13A5" w:rsidR="00C108B8" w:rsidRPr="00095152" w:rsidRDefault="00A73666" w:rsidP="00095152">
      <w:pPr>
        <w:tabs>
          <w:tab w:val="clear" w:pos="1134"/>
          <w:tab w:val="left" w:pos="567"/>
        </w:tabs>
        <w:snapToGrid w:val="0"/>
        <w:spacing w:after="240"/>
        <w:rPr>
          <w:rFonts w:asciiTheme="minorBidi" w:hAnsiTheme="minorBidi" w:cstheme="minorBidi"/>
          <w:sz w:val="22"/>
          <w:szCs w:val="22"/>
          <w:lang w:val="es-ES_tradnl"/>
        </w:rPr>
      </w:pPr>
      <w:r w:rsidRPr="00095152">
        <w:rPr>
          <w:rFonts w:asciiTheme="minorBidi" w:hAnsiTheme="minorBidi" w:cstheme="minorBidi"/>
          <w:bCs/>
          <w:iCs/>
          <w:sz w:val="22"/>
          <w:szCs w:val="22"/>
          <w:lang w:val="es-ES_tradnl"/>
        </w:rPr>
        <w:t>25.</w:t>
      </w:r>
      <w:r w:rsidRPr="00095152">
        <w:rPr>
          <w:rFonts w:asciiTheme="minorBidi" w:hAnsiTheme="minorBidi" w:cstheme="minorBidi"/>
          <w:bCs/>
          <w:iCs/>
          <w:sz w:val="22"/>
          <w:szCs w:val="22"/>
          <w:lang w:val="es-ES_tradnl"/>
        </w:rPr>
        <w:tab/>
      </w:r>
      <w:r w:rsidR="00C108B8" w:rsidRPr="00095152">
        <w:rPr>
          <w:rFonts w:asciiTheme="minorBidi" w:hAnsiTheme="minorBidi" w:cstheme="minorBidi"/>
          <w:sz w:val="22"/>
          <w:szCs w:val="22"/>
          <w:lang w:val="es-ES_tradnl"/>
        </w:rPr>
        <w:t xml:space="preserve">El desarrollo de capacidad, la formación y la transferencia de tecnologías son elementos fundamentales en los que se basan los intereses comunes, los productos finales y los beneficiarios de la OMM y la COI. En los ámbitos de interés mutuo, tanto los Miembros como los Estados Miembros se beneficiarían considerablemente de las iniciativas conjuntas de desarrollo de capacidad y formación. Debería prestarse especial atención a los organismos nacionales conjuntos de la COI y la OMM para reducir el número de actividades duplicadas. Se necesita una cooperación más estrecha entre las iniciativas y las infraestructuras de formación y desarrollo de capacidad vigentes, por ejemplo, entre los Centros Regionales de Formación de la OMM y los Centros de Formación del </w:t>
      </w:r>
      <w:r w:rsidR="0052653B" w:rsidRPr="00095152">
        <w:rPr>
          <w:rFonts w:asciiTheme="minorBidi" w:hAnsiTheme="minorBidi" w:cstheme="minorBidi"/>
          <w:sz w:val="22"/>
          <w:szCs w:val="22"/>
          <w:lang w:val="es-ES_tradnl"/>
        </w:rPr>
        <w:t>Intercambio Internacional de Datos e Información Oceanográficos (</w:t>
      </w:r>
      <w:r w:rsidR="00C108B8" w:rsidRPr="00095152">
        <w:rPr>
          <w:rFonts w:asciiTheme="minorBidi" w:hAnsiTheme="minorBidi" w:cstheme="minorBidi"/>
          <w:sz w:val="22"/>
          <w:szCs w:val="22"/>
          <w:lang w:val="es-ES_tradnl"/>
        </w:rPr>
        <w:t>IODE</w:t>
      </w:r>
      <w:r w:rsidR="0052653B" w:rsidRPr="00095152">
        <w:rPr>
          <w:rFonts w:asciiTheme="minorBidi" w:hAnsiTheme="minorBidi" w:cstheme="minorBidi"/>
          <w:sz w:val="22"/>
          <w:szCs w:val="22"/>
          <w:lang w:val="es-ES_tradnl"/>
        </w:rPr>
        <w:t>)</w:t>
      </w:r>
      <w:r w:rsidR="00C108B8" w:rsidRPr="00095152">
        <w:rPr>
          <w:rFonts w:asciiTheme="minorBidi" w:hAnsiTheme="minorBidi" w:cstheme="minorBidi"/>
          <w:sz w:val="22"/>
          <w:szCs w:val="22"/>
          <w:lang w:val="es-ES_tradnl"/>
        </w:rPr>
        <w:t xml:space="preserve">. Deberían priorizarse los pequeños Estados insulares en desarrollo y los países menos adelantados con grandes comunidades costeras y que dependen de la economía marina. </w:t>
      </w:r>
    </w:p>
    <w:p w14:paraId="61B2524E" w14:textId="469CFE23" w:rsidR="00C108B8" w:rsidRPr="00095152" w:rsidRDefault="00A73666" w:rsidP="00095152">
      <w:pPr>
        <w:tabs>
          <w:tab w:val="clear" w:pos="1134"/>
        </w:tabs>
        <w:snapToGrid w:val="0"/>
        <w:spacing w:after="240"/>
        <w:ind w:left="1134" w:hanging="567"/>
        <w:rPr>
          <w:rFonts w:asciiTheme="minorBidi" w:hAnsiTheme="minorBidi" w:cstheme="minorBidi"/>
          <w:i/>
          <w:sz w:val="22"/>
          <w:szCs w:val="22"/>
          <w:u w:val="single"/>
          <w:lang w:val="es-ES_tradnl"/>
        </w:rPr>
      </w:pPr>
      <w:r w:rsidRPr="00095152">
        <w:rPr>
          <w:rFonts w:asciiTheme="minorBidi" w:hAnsiTheme="minorBidi" w:cstheme="minorBidi"/>
          <w:i/>
          <w:sz w:val="22"/>
          <w:szCs w:val="22"/>
          <w:lang w:val="es-ES_tradnl"/>
        </w:rPr>
        <w:t>6.</w:t>
      </w:r>
      <w:r w:rsidRPr="00095152">
        <w:rPr>
          <w:rFonts w:asciiTheme="minorBidi" w:hAnsiTheme="minorBidi" w:cstheme="minorBidi"/>
          <w:i/>
          <w:sz w:val="22"/>
          <w:szCs w:val="22"/>
          <w:lang w:val="es-ES_tradnl"/>
        </w:rPr>
        <w:tab/>
      </w:r>
      <w:r w:rsidR="00C108B8" w:rsidRPr="00095152">
        <w:rPr>
          <w:rFonts w:asciiTheme="minorBidi" w:hAnsiTheme="minorBidi" w:cstheme="minorBidi"/>
          <w:i/>
          <w:iCs/>
          <w:sz w:val="22"/>
          <w:szCs w:val="22"/>
          <w:u w:val="single"/>
          <w:lang w:val="es-ES_tradnl"/>
        </w:rPr>
        <w:t>Adopción de enfoques regionales conjuntos</w:t>
      </w:r>
    </w:p>
    <w:p w14:paraId="110C6DE1" w14:textId="7F8258FE" w:rsidR="00C108B8" w:rsidRPr="00095152" w:rsidRDefault="00A73666" w:rsidP="00095152">
      <w:pPr>
        <w:tabs>
          <w:tab w:val="clear" w:pos="1134"/>
          <w:tab w:val="left" w:pos="567"/>
        </w:tabs>
        <w:snapToGrid w:val="0"/>
        <w:spacing w:after="240"/>
        <w:rPr>
          <w:rFonts w:asciiTheme="minorBidi" w:hAnsiTheme="minorBidi" w:cstheme="minorBidi"/>
          <w:i/>
          <w:sz w:val="22"/>
          <w:szCs w:val="22"/>
          <w:lang w:val="es-ES_tradnl"/>
        </w:rPr>
      </w:pPr>
      <w:r w:rsidRPr="00095152">
        <w:rPr>
          <w:rFonts w:asciiTheme="minorBidi" w:hAnsiTheme="minorBidi" w:cstheme="minorBidi"/>
          <w:bCs/>
          <w:iCs/>
          <w:sz w:val="22"/>
          <w:szCs w:val="22"/>
          <w:lang w:val="es-ES_tradnl"/>
        </w:rPr>
        <w:t>26.</w:t>
      </w:r>
      <w:r w:rsidRPr="00095152">
        <w:rPr>
          <w:rFonts w:asciiTheme="minorBidi" w:hAnsiTheme="minorBidi" w:cstheme="minorBidi"/>
          <w:bCs/>
          <w:iCs/>
          <w:sz w:val="22"/>
          <w:szCs w:val="22"/>
          <w:lang w:val="es-ES_tradnl"/>
        </w:rPr>
        <w:tab/>
      </w:r>
      <w:r w:rsidR="00C108B8" w:rsidRPr="00095152">
        <w:rPr>
          <w:rFonts w:asciiTheme="minorBidi" w:hAnsiTheme="minorBidi" w:cstheme="minorBidi"/>
          <w:sz w:val="22"/>
          <w:szCs w:val="22"/>
          <w:lang w:val="es-ES_tradnl"/>
        </w:rPr>
        <w:t xml:space="preserve">A pesar de que las estructuras regionales de la COI y la OMM no </w:t>
      </w:r>
      <w:r w:rsidR="00C85FA6" w:rsidRPr="00095152">
        <w:rPr>
          <w:rFonts w:asciiTheme="minorBidi" w:hAnsiTheme="minorBidi" w:cstheme="minorBidi"/>
          <w:sz w:val="22"/>
          <w:szCs w:val="22"/>
          <w:lang w:val="es-ES_tradnl"/>
        </w:rPr>
        <w:t xml:space="preserve">se corresponden </w:t>
      </w:r>
      <w:r w:rsidR="00C108B8" w:rsidRPr="00095152">
        <w:rPr>
          <w:rFonts w:asciiTheme="minorBidi" w:hAnsiTheme="minorBidi" w:cstheme="minorBidi"/>
          <w:sz w:val="22"/>
          <w:szCs w:val="22"/>
          <w:lang w:val="es-ES_tradnl"/>
        </w:rPr>
        <w:t xml:space="preserve">perfectamente en un sentido geográfico, para fortalecer las asociaciones entre ambas organizaciones y una comunidad más amplia de partes interesadas con un interés común, </w:t>
      </w:r>
      <w:r w:rsidR="00C85FA6" w:rsidRPr="00095152">
        <w:rPr>
          <w:rFonts w:asciiTheme="minorBidi" w:hAnsiTheme="minorBidi" w:cstheme="minorBidi"/>
          <w:sz w:val="22"/>
          <w:szCs w:val="22"/>
          <w:lang w:val="es-ES_tradnl"/>
        </w:rPr>
        <w:t>sería útil</w:t>
      </w:r>
      <w:r w:rsidR="00C108B8" w:rsidRPr="00095152">
        <w:rPr>
          <w:rFonts w:asciiTheme="minorBidi" w:hAnsiTheme="minorBidi" w:cstheme="minorBidi"/>
          <w:sz w:val="22"/>
          <w:szCs w:val="22"/>
          <w:lang w:val="es-ES_tradnl"/>
        </w:rPr>
        <w:t xml:space="preserve"> abordar las </w:t>
      </w:r>
      <w:r w:rsidR="00C85FA6" w:rsidRPr="00095152">
        <w:rPr>
          <w:rFonts w:asciiTheme="minorBidi" w:hAnsiTheme="minorBidi" w:cstheme="minorBidi"/>
          <w:sz w:val="22"/>
          <w:szCs w:val="22"/>
          <w:lang w:val="es-ES_tradnl"/>
        </w:rPr>
        <w:t xml:space="preserve">cuestiones </w:t>
      </w:r>
      <w:r w:rsidR="00C108B8" w:rsidRPr="00095152">
        <w:rPr>
          <w:rFonts w:asciiTheme="minorBidi" w:hAnsiTheme="minorBidi" w:cstheme="minorBidi"/>
          <w:sz w:val="22"/>
          <w:szCs w:val="22"/>
          <w:lang w:val="es-ES_tradnl"/>
        </w:rPr>
        <w:t xml:space="preserve">regionales a través de los objetivos de cada componente de la cadena de valor, así como </w:t>
      </w:r>
      <w:r w:rsidR="003F4837" w:rsidRPr="00095152">
        <w:rPr>
          <w:rFonts w:asciiTheme="minorBidi" w:hAnsiTheme="minorBidi" w:cstheme="minorBidi"/>
          <w:sz w:val="22"/>
          <w:szCs w:val="22"/>
          <w:lang w:val="es-ES_tradnl"/>
        </w:rPr>
        <w:t>de</w:t>
      </w:r>
      <w:r w:rsidR="00C108B8" w:rsidRPr="00095152">
        <w:rPr>
          <w:rFonts w:asciiTheme="minorBidi" w:hAnsiTheme="minorBidi" w:cstheme="minorBidi"/>
          <w:sz w:val="22"/>
          <w:szCs w:val="22"/>
          <w:lang w:val="es-ES_tradnl"/>
        </w:rPr>
        <w:t xml:space="preserve"> desarrollo de capacidad. También deberían utilizarse los </w:t>
      </w:r>
      <w:r w:rsidR="00E33FAF" w:rsidRPr="00095152">
        <w:rPr>
          <w:rFonts w:asciiTheme="minorBidi" w:hAnsiTheme="minorBidi" w:cstheme="minorBidi"/>
          <w:sz w:val="22"/>
          <w:szCs w:val="22"/>
          <w:lang w:val="es-ES_tradnl"/>
        </w:rPr>
        <w:t xml:space="preserve">valiosos </w:t>
      </w:r>
      <w:r w:rsidR="00C108B8" w:rsidRPr="00095152">
        <w:rPr>
          <w:rFonts w:asciiTheme="minorBidi" w:hAnsiTheme="minorBidi" w:cstheme="minorBidi"/>
          <w:sz w:val="22"/>
          <w:szCs w:val="22"/>
          <w:lang w:val="es-ES_tradnl"/>
        </w:rPr>
        <w:t xml:space="preserve">marcos regionales vigentes (por ejemplo, los Centros Regionales sobre el Clima, los Foros Regionales sobre la Evolución Probable del Clima y las alianzas regionales del GOOS, entre otros), y los organismos regionales deberían </w:t>
      </w:r>
      <w:r w:rsidR="009D7933" w:rsidRPr="00095152">
        <w:rPr>
          <w:rFonts w:asciiTheme="minorBidi" w:hAnsiTheme="minorBidi" w:cstheme="minorBidi"/>
          <w:sz w:val="22"/>
          <w:szCs w:val="22"/>
          <w:lang w:val="es-ES_tradnl"/>
        </w:rPr>
        <w:t>colaborar para alca</w:t>
      </w:r>
      <w:r w:rsidR="000D0EC3" w:rsidRPr="00095152">
        <w:rPr>
          <w:rFonts w:asciiTheme="minorBidi" w:hAnsiTheme="minorBidi" w:cstheme="minorBidi"/>
          <w:sz w:val="22"/>
          <w:szCs w:val="22"/>
          <w:lang w:val="es-ES_tradnl"/>
        </w:rPr>
        <w:t>n</w:t>
      </w:r>
      <w:r w:rsidR="009D7933" w:rsidRPr="00095152">
        <w:rPr>
          <w:rFonts w:asciiTheme="minorBidi" w:hAnsiTheme="minorBidi" w:cstheme="minorBidi"/>
          <w:sz w:val="22"/>
          <w:szCs w:val="22"/>
          <w:lang w:val="es-ES_tradnl"/>
        </w:rPr>
        <w:t>zar</w:t>
      </w:r>
      <w:r w:rsidR="00C108B8" w:rsidRPr="00095152">
        <w:rPr>
          <w:rFonts w:asciiTheme="minorBidi" w:hAnsiTheme="minorBidi" w:cstheme="minorBidi"/>
          <w:sz w:val="22"/>
          <w:szCs w:val="22"/>
          <w:lang w:val="es-ES_tradnl"/>
        </w:rPr>
        <w:t xml:space="preserve"> objetivos comunes. Lo ideal sería sintetizarlo en una declaración regional general sobre </w:t>
      </w:r>
      <w:r w:rsidR="00AA25AC" w:rsidRPr="00095152">
        <w:rPr>
          <w:rFonts w:asciiTheme="minorBidi" w:hAnsiTheme="minorBidi" w:cstheme="minorBidi"/>
          <w:sz w:val="22"/>
          <w:szCs w:val="22"/>
          <w:lang w:val="es-ES_tradnl"/>
        </w:rPr>
        <w:t xml:space="preserve">la importancia de </w:t>
      </w:r>
      <w:r w:rsidR="00C108B8" w:rsidRPr="00095152">
        <w:rPr>
          <w:rFonts w:asciiTheme="minorBidi" w:hAnsiTheme="minorBidi" w:cstheme="minorBidi"/>
          <w:sz w:val="22"/>
          <w:szCs w:val="22"/>
          <w:lang w:val="es-ES_tradnl"/>
        </w:rPr>
        <w:t xml:space="preserve">la labor conjunta, en la que se especifiquen las prioridades y estrategias regionales, así como la cooperación entre regiones con características comparables. La coordinación entre las oficinas regionales de la COI y la OMM </w:t>
      </w:r>
      <w:r w:rsidR="0022560A" w:rsidRPr="00095152">
        <w:rPr>
          <w:rFonts w:asciiTheme="minorBidi" w:hAnsiTheme="minorBidi" w:cstheme="minorBidi"/>
          <w:sz w:val="22"/>
          <w:szCs w:val="22"/>
          <w:lang w:val="es-ES_tradnl"/>
        </w:rPr>
        <w:t>a nivel</w:t>
      </w:r>
      <w:r w:rsidR="00C108B8" w:rsidRPr="00095152">
        <w:rPr>
          <w:rFonts w:asciiTheme="minorBidi" w:hAnsiTheme="minorBidi" w:cstheme="minorBidi"/>
          <w:sz w:val="22"/>
          <w:szCs w:val="22"/>
          <w:lang w:val="es-ES_tradnl"/>
        </w:rPr>
        <w:t xml:space="preserve"> intrarregional</w:t>
      </w:r>
      <w:r w:rsidR="00E62544" w:rsidRPr="00095152">
        <w:rPr>
          <w:rFonts w:asciiTheme="minorBidi" w:hAnsiTheme="minorBidi" w:cstheme="minorBidi"/>
          <w:sz w:val="22"/>
          <w:szCs w:val="22"/>
          <w:lang w:val="es-ES_tradnl"/>
        </w:rPr>
        <w:t xml:space="preserve"> y el seguimiento de esa labor</w:t>
      </w:r>
      <w:r w:rsidR="00C108B8" w:rsidRPr="00095152">
        <w:rPr>
          <w:rFonts w:asciiTheme="minorBidi" w:hAnsiTheme="minorBidi" w:cstheme="minorBidi"/>
          <w:sz w:val="22"/>
          <w:szCs w:val="22"/>
          <w:lang w:val="es-ES_tradnl"/>
        </w:rPr>
        <w:t xml:space="preserve"> son esenciales. La colaboración también podría reforzarse a través de las oficinas regionales de la OMM y de la COI, que se comunicarían entre las regiones y proporcionarían información periódica a las sedes y a los órganos técnicos de la COI y de la OMM.</w:t>
      </w:r>
    </w:p>
    <w:p w14:paraId="24E01320" w14:textId="60814668" w:rsidR="00C108B8" w:rsidRPr="00095152" w:rsidRDefault="00A73666" w:rsidP="00095152">
      <w:pPr>
        <w:tabs>
          <w:tab w:val="clear" w:pos="1134"/>
          <w:tab w:val="left" w:pos="567"/>
        </w:tabs>
        <w:snapToGrid w:val="0"/>
        <w:spacing w:after="240"/>
        <w:rPr>
          <w:rFonts w:asciiTheme="minorBidi" w:hAnsiTheme="minorBidi" w:cstheme="minorBidi"/>
          <w:sz w:val="22"/>
          <w:szCs w:val="22"/>
          <w:lang w:val="es-ES_tradnl"/>
        </w:rPr>
      </w:pPr>
      <w:r w:rsidRPr="00095152">
        <w:rPr>
          <w:rFonts w:asciiTheme="minorBidi" w:hAnsiTheme="minorBidi" w:cstheme="minorBidi"/>
          <w:bCs/>
          <w:iCs/>
          <w:sz w:val="22"/>
          <w:szCs w:val="22"/>
          <w:lang w:val="es-ES_tradnl"/>
        </w:rPr>
        <w:t>27.</w:t>
      </w:r>
      <w:r w:rsidRPr="00095152">
        <w:rPr>
          <w:rFonts w:asciiTheme="minorBidi" w:hAnsiTheme="minorBidi" w:cstheme="minorBidi"/>
          <w:bCs/>
          <w:iCs/>
          <w:sz w:val="22"/>
          <w:szCs w:val="22"/>
          <w:lang w:val="es-ES_tradnl"/>
        </w:rPr>
        <w:tab/>
      </w:r>
      <w:r w:rsidR="00C108B8" w:rsidRPr="00095152">
        <w:rPr>
          <w:rFonts w:asciiTheme="minorBidi" w:hAnsiTheme="minorBidi" w:cstheme="minorBidi"/>
          <w:sz w:val="22"/>
          <w:szCs w:val="22"/>
          <w:lang w:val="es-ES_tradnl"/>
        </w:rPr>
        <w:t>La aplicación de estos enfoques requerirá de acciones específicas para las cuales la Junta Mixta de Colaboración OMM</w:t>
      </w:r>
      <w:r w:rsidR="004E1628" w:rsidRPr="00095152">
        <w:rPr>
          <w:rFonts w:asciiTheme="minorBidi" w:hAnsiTheme="minorBidi" w:cstheme="minorBidi"/>
          <w:sz w:val="22"/>
          <w:szCs w:val="22"/>
          <w:lang w:val="es-ES_tradnl"/>
        </w:rPr>
        <w:t>-</w:t>
      </w:r>
      <w:r w:rsidR="00C108B8" w:rsidRPr="00095152">
        <w:rPr>
          <w:rFonts w:asciiTheme="minorBidi" w:hAnsiTheme="minorBidi" w:cstheme="minorBidi"/>
          <w:sz w:val="22"/>
          <w:szCs w:val="22"/>
          <w:lang w:val="es-ES_tradnl"/>
        </w:rPr>
        <w:t xml:space="preserve">COI desempeñará una función catalizadora y de orientación. </w:t>
      </w:r>
    </w:p>
    <w:p w14:paraId="1D99C74D" w14:textId="77777777" w:rsidR="00C108B8" w:rsidRPr="00095152" w:rsidRDefault="00C108B8" w:rsidP="00095152">
      <w:pPr>
        <w:snapToGrid w:val="0"/>
        <w:spacing w:after="240"/>
        <w:rPr>
          <w:rFonts w:asciiTheme="minorBidi" w:hAnsiTheme="minorBidi" w:cstheme="minorBidi"/>
          <w:sz w:val="22"/>
          <w:szCs w:val="22"/>
        </w:rPr>
      </w:pPr>
      <w:r w:rsidRPr="00095152">
        <w:rPr>
          <w:rFonts w:asciiTheme="minorBidi" w:hAnsiTheme="minorBidi" w:cstheme="minorBidi"/>
          <w:sz w:val="22"/>
          <w:szCs w:val="22"/>
        </w:rPr>
        <w:br w:type="page"/>
      </w:r>
    </w:p>
    <w:p w14:paraId="2F7FA107" w14:textId="77777777" w:rsidR="00C108B8" w:rsidRPr="00095152" w:rsidRDefault="00C108B8" w:rsidP="00C108B8">
      <w:pPr>
        <w:pStyle w:val="Heading3"/>
        <w:spacing w:before="0" w:after="240"/>
        <w:jc w:val="center"/>
        <w:rPr>
          <w:rFonts w:asciiTheme="minorBidi" w:hAnsiTheme="minorBidi" w:cstheme="minorBidi"/>
          <w:sz w:val="22"/>
          <w:szCs w:val="22"/>
        </w:rPr>
      </w:pPr>
      <w:r w:rsidRPr="00095152">
        <w:rPr>
          <w:rFonts w:asciiTheme="minorBidi" w:hAnsiTheme="minorBidi" w:cstheme="minorBidi"/>
          <w:sz w:val="22"/>
          <w:szCs w:val="22"/>
        </w:rPr>
        <w:lastRenderedPageBreak/>
        <w:t>ANEXO</w:t>
      </w:r>
    </w:p>
    <w:p w14:paraId="4E514B08" w14:textId="0D3FE3CB" w:rsidR="00C108B8" w:rsidRPr="00095152" w:rsidRDefault="00C108B8" w:rsidP="00C108B8">
      <w:pPr>
        <w:pStyle w:val="Heading3"/>
        <w:spacing w:before="0" w:after="240"/>
        <w:jc w:val="center"/>
        <w:rPr>
          <w:rFonts w:asciiTheme="minorBidi" w:hAnsiTheme="minorBidi" w:cstheme="minorBidi"/>
          <w:sz w:val="22"/>
          <w:szCs w:val="22"/>
        </w:rPr>
      </w:pPr>
      <w:r w:rsidRPr="00095152">
        <w:rPr>
          <w:rFonts w:asciiTheme="minorBidi" w:hAnsiTheme="minorBidi" w:cstheme="minorBidi"/>
          <w:sz w:val="22"/>
          <w:szCs w:val="22"/>
        </w:rPr>
        <w:t xml:space="preserve">Lista de </w:t>
      </w:r>
      <w:r w:rsidR="00D8796D" w:rsidRPr="00095152">
        <w:rPr>
          <w:rFonts w:asciiTheme="minorBidi" w:hAnsiTheme="minorBidi" w:cstheme="minorBidi"/>
          <w:sz w:val="22"/>
          <w:szCs w:val="22"/>
        </w:rPr>
        <w:t>abreviaciones</w:t>
      </w:r>
    </w:p>
    <w:p w14:paraId="1FB8424E" w14:textId="77777777" w:rsidR="00C108B8" w:rsidRPr="00095152" w:rsidRDefault="00C108B8" w:rsidP="00C108B8">
      <w:pPr>
        <w:pStyle w:val="WMOBodyText"/>
        <w:rPr>
          <w:rFonts w:asciiTheme="minorBidi" w:hAnsiTheme="minorBidi" w:cstheme="minorBidi"/>
          <w:sz w:val="22"/>
          <w:szCs w:val="22"/>
        </w:rPr>
      </w:pPr>
    </w:p>
    <w:tbl>
      <w:tblPr>
        <w:tblStyle w:val="3"/>
        <w:tblW w:w="8730" w:type="dxa"/>
        <w:tblLayout w:type="fixed"/>
        <w:tblLook w:val="0600" w:firstRow="0" w:lastRow="0" w:firstColumn="0" w:lastColumn="0" w:noHBand="1" w:noVBand="1"/>
      </w:tblPr>
      <w:tblGrid>
        <w:gridCol w:w="1485"/>
        <w:gridCol w:w="7245"/>
      </w:tblGrid>
      <w:tr w:rsidR="0049632A" w:rsidRPr="00095152" w14:paraId="3483C761" w14:textId="77777777" w:rsidTr="00520985">
        <w:trPr>
          <w:trHeight w:val="285"/>
        </w:trPr>
        <w:tc>
          <w:tcPr>
            <w:tcW w:w="1485" w:type="dxa"/>
          </w:tcPr>
          <w:p w14:paraId="6D4ECC07" w14:textId="77777777" w:rsidR="0049632A" w:rsidRPr="00095152" w:rsidRDefault="0049632A"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COI</w:t>
            </w:r>
          </w:p>
        </w:tc>
        <w:tc>
          <w:tcPr>
            <w:tcW w:w="7245" w:type="dxa"/>
          </w:tcPr>
          <w:p w14:paraId="02F60E00" w14:textId="77777777" w:rsidR="0049632A" w:rsidRPr="00095152" w:rsidRDefault="0049632A"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Comisión Oceanográfica Intergubernamental</w:t>
            </w:r>
          </w:p>
        </w:tc>
      </w:tr>
      <w:tr w:rsidR="00C108B8" w:rsidRPr="00095152" w14:paraId="7FAE5AA3" w14:textId="77777777" w:rsidTr="00520985">
        <w:trPr>
          <w:trHeight w:val="285"/>
        </w:trPr>
        <w:tc>
          <w:tcPr>
            <w:tcW w:w="1485" w:type="dxa"/>
          </w:tcPr>
          <w:p w14:paraId="287CDE03" w14:textId="77777777" w:rsidR="00C108B8" w:rsidRPr="00095152" w:rsidRDefault="00C108B8"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GOOS</w:t>
            </w:r>
          </w:p>
        </w:tc>
        <w:tc>
          <w:tcPr>
            <w:tcW w:w="7245" w:type="dxa"/>
          </w:tcPr>
          <w:p w14:paraId="595DD482" w14:textId="77777777" w:rsidR="00C108B8" w:rsidRPr="00095152" w:rsidRDefault="00C108B8"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Sistema Mundial de Observación del Océano</w:t>
            </w:r>
          </w:p>
        </w:tc>
      </w:tr>
      <w:tr w:rsidR="00C108B8" w:rsidRPr="00095152" w14:paraId="3D612585" w14:textId="77777777" w:rsidTr="00520985">
        <w:trPr>
          <w:trHeight w:val="285"/>
        </w:trPr>
        <w:tc>
          <w:tcPr>
            <w:tcW w:w="1485" w:type="dxa"/>
          </w:tcPr>
          <w:p w14:paraId="3F98F137" w14:textId="77777777" w:rsidR="00C108B8" w:rsidRPr="00095152" w:rsidRDefault="00C108B8" w:rsidP="00A73666">
            <w:pPr>
              <w:spacing w:after="240"/>
              <w:rPr>
                <w:rFonts w:asciiTheme="minorBidi" w:hAnsiTheme="minorBidi" w:cstheme="minorBidi"/>
                <w:b/>
                <w:bCs/>
                <w:color w:val="000000"/>
                <w:lang w:val="es-ES_tradnl"/>
              </w:rPr>
            </w:pPr>
            <w:r w:rsidRPr="00095152">
              <w:rPr>
                <w:rFonts w:asciiTheme="minorBidi" w:hAnsiTheme="minorBidi" w:cstheme="minorBidi"/>
                <w:b/>
                <w:bCs/>
                <w:lang w:val="es-ES_tradnl"/>
              </w:rPr>
              <w:t>IPCC</w:t>
            </w:r>
          </w:p>
        </w:tc>
        <w:tc>
          <w:tcPr>
            <w:tcW w:w="7245" w:type="dxa"/>
          </w:tcPr>
          <w:p w14:paraId="696AB2FB" w14:textId="77777777" w:rsidR="00C108B8" w:rsidRPr="00095152" w:rsidRDefault="00C108B8"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Grupo Intergubernamental de Expertos sobre el Cambio Climático</w:t>
            </w:r>
          </w:p>
        </w:tc>
      </w:tr>
      <w:tr w:rsidR="0049632A" w:rsidRPr="00095152" w14:paraId="1439B591" w14:textId="77777777" w:rsidTr="00520985">
        <w:trPr>
          <w:trHeight w:val="285"/>
        </w:trPr>
        <w:tc>
          <w:tcPr>
            <w:tcW w:w="1485" w:type="dxa"/>
          </w:tcPr>
          <w:p w14:paraId="0E3D91DC" w14:textId="77777777" w:rsidR="0049632A" w:rsidRPr="00095152" w:rsidRDefault="0049632A"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OCDE</w:t>
            </w:r>
          </w:p>
        </w:tc>
        <w:tc>
          <w:tcPr>
            <w:tcW w:w="7245" w:type="dxa"/>
          </w:tcPr>
          <w:p w14:paraId="6B115D6B" w14:textId="77777777" w:rsidR="0049632A" w:rsidRPr="00095152" w:rsidRDefault="0049632A"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Organización para la Cooperación y el Desarrollo Económicos</w:t>
            </w:r>
          </w:p>
        </w:tc>
      </w:tr>
      <w:tr w:rsidR="00C108B8" w:rsidRPr="00095152" w14:paraId="2DB35B06" w14:textId="77777777" w:rsidTr="00520985">
        <w:trPr>
          <w:trHeight w:val="285"/>
        </w:trPr>
        <w:tc>
          <w:tcPr>
            <w:tcW w:w="1485" w:type="dxa"/>
          </w:tcPr>
          <w:p w14:paraId="6CC5445B" w14:textId="77777777" w:rsidR="00C108B8" w:rsidRPr="00095152" w:rsidRDefault="00C108B8"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ODIS</w:t>
            </w:r>
          </w:p>
        </w:tc>
        <w:tc>
          <w:tcPr>
            <w:tcW w:w="7245" w:type="dxa"/>
          </w:tcPr>
          <w:p w14:paraId="66DC54F0" w14:textId="77777777" w:rsidR="00C108B8" w:rsidRPr="00095152" w:rsidRDefault="00C108B8"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Sistema de Datos e Información Oceanográficos</w:t>
            </w:r>
          </w:p>
        </w:tc>
      </w:tr>
      <w:tr w:rsidR="0049632A" w:rsidRPr="00095152" w14:paraId="2D637258" w14:textId="77777777" w:rsidTr="00520985">
        <w:trPr>
          <w:trHeight w:val="285"/>
        </w:trPr>
        <w:tc>
          <w:tcPr>
            <w:tcW w:w="1485" w:type="dxa"/>
          </w:tcPr>
          <w:p w14:paraId="28FDA1D5" w14:textId="77777777" w:rsidR="0049632A" w:rsidRPr="00095152" w:rsidRDefault="0049632A"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OMM</w:t>
            </w:r>
          </w:p>
        </w:tc>
        <w:tc>
          <w:tcPr>
            <w:tcW w:w="7245" w:type="dxa"/>
          </w:tcPr>
          <w:p w14:paraId="253640DF" w14:textId="77777777" w:rsidR="0049632A" w:rsidRPr="00095152" w:rsidRDefault="0049632A"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Organización Meteorológica Mundial</w:t>
            </w:r>
          </w:p>
        </w:tc>
      </w:tr>
      <w:tr w:rsidR="0049632A" w:rsidRPr="00095152" w14:paraId="0D9BAAB7" w14:textId="77777777" w:rsidTr="00520985">
        <w:trPr>
          <w:trHeight w:val="285"/>
        </w:trPr>
        <w:tc>
          <w:tcPr>
            <w:tcW w:w="1485" w:type="dxa"/>
          </w:tcPr>
          <w:p w14:paraId="26F599E6" w14:textId="77777777" w:rsidR="0049632A" w:rsidRPr="00095152" w:rsidRDefault="0049632A"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PMIC</w:t>
            </w:r>
          </w:p>
        </w:tc>
        <w:tc>
          <w:tcPr>
            <w:tcW w:w="7245" w:type="dxa"/>
          </w:tcPr>
          <w:p w14:paraId="371DCF04" w14:textId="77777777" w:rsidR="0049632A" w:rsidRPr="00095152" w:rsidRDefault="0049632A"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Programa Mundial de Investigaciones Climáticas</w:t>
            </w:r>
          </w:p>
        </w:tc>
      </w:tr>
      <w:tr w:rsidR="00C108B8" w:rsidRPr="00095152" w14:paraId="3587927A" w14:textId="77777777" w:rsidTr="00520985">
        <w:trPr>
          <w:trHeight w:val="285"/>
        </w:trPr>
        <w:tc>
          <w:tcPr>
            <w:tcW w:w="1485" w:type="dxa"/>
          </w:tcPr>
          <w:p w14:paraId="625D2A5A" w14:textId="77777777" w:rsidR="00C108B8" w:rsidRPr="00095152" w:rsidRDefault="00C108B8"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PNUMA</w:t>
            </w:r>
          </w:p>
        </w:tc>
        <w:tc>
          <w:tcPr>
            <w:tcW w:w="7245" w:type="dxa"/>
          </w:tcPr>
          <w:p w14:paraId="2B2E97F0" w14:textId="77777777" w:rsidR="00C108B8" w:rsidRPr="00095152" w:rsidRDefault="00C108B8"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Programa de las Naciones Unidas para el Medio Ambiente</w:t>
            </w:r>
          </w:p>
        </w:tc>
      </w:tr>
      <w:tr w:rsidR="0049632A" w:rsidRPr="00095152" w14:paraId="1B3644C5" w14:textId="77777777" w:rsidTr="00520985">
        <w:trPr>
          <w:trHeight w:val="390"/>
        </w:trPr>
        <w:tc>
          <w:tcPr>
            <w:tcW w:w="1485" w:type="dxa"/>
          </w:tcPr>
          <w:p w14:paraId="13B32DF3" w14:textId="77777777" w:rsidR="0049632A" w:rsidRPr="00095152" w:rsidRDefault="0049632A" w:rsidP="00A73666">
            <w:pPr>
              <w:spacing w:after="240"/>
              <w:jc w:val="left"/>
              <w:rPr>
                <w:rFonts w:asciiTheme="minorBidi" w:hAnsiTheme="minorBidi" w:cstheme="minorBidi"/>
                <w:b/>
                <w:bCs/>
                <w:color w:val="000000"/>
                <w:lang w:val="es-ES_tradnl"/>
              </w:rPr>
            </w:pPr>
            <w:r w:rsidRPr="00095152">
              <w:rPr>
                <w:rFonts w:asciiTheme="minorBidi" w:hAnsiTheme="minorBidi" w:cstheme="minorBidi"/>
                <w:b/>
                <w:bCs/>
                <w:lang w:val="es-ES_tradnl"/>
              </w:rPr>
              <w:t>SMOC</w:t>
            </w:r>
          </w:p>
        </w:tc>
        <w:tc>
          <w:tcPr>
            <w:tcW w:w="7245" w:type="dxa"/>
          </w:tcPr>
          <w:p w14:paraId="5BF68417" w14:textId="77777777" w:rsidR="0049632A" w:rsidRPr="00095152" w:rsidRDefault="0049632A" w:rsidP="00A73666">
            <w:pPr>
              <w:spacing w:after="240"/>
              <w:jc w:val="left"/>
              <w:rPr>
                <w:rFonts w:asciiTheme="minorBidi" w:hAnsiTheme="minorBidi" w:cstheme="minorBidi"/>
                <w:color w:val="000000"/>
                <w:lang w:val="es-ES_tradnl"/>
              </w:rPr>
            </w:pPr>
            <w:r w:rsidRPr="00095152">
              <w:rPr>
                <w:rFonts w:asciiTheme="minorBidi" w:hAnsiTheme="minorBidi" w:cstheme="minorBidi"/>
                <w:lang w:val="es-ES_tradnl"/>
              </w:rPr>
              <w:t>Sistema Mundial de Observación del Clima</w:t>
            </w:r>
          </w:p>
        </w:tc>
      </w:tr>
    </w:tbl>
    <w:p w14:paraId="2A060499" w14:textId="77777777" w:rsidR="00864DBF" w:rsidRPr="00173C9D" w:rsidRDefault="00514EAC" w:rsidP="00A73666">
      <w:pPr>
        <w:pStyle w:val="WMOBodyText"/>
        <w:spacing w:before="360"/>
        <w:jc w:val="center"/>
      </w:pPr>
      <w:r w:rsidRPr="00173C9D">
        <w:t>______________</w:t>
      </w:r>
    </w:p>
    <w:sectPr w:rsidR="00864DBF" w:rsidRPr="00173C9D" w:rsidSect="00095152">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B5DFB" w14:textId="77777777" w:rsidR="006F598D" w:rsidRDefault="006F598D">
      <w:r>
        <w:separator/>
      </w:r>
    </w:p>
    <w:p w14:paraId="5E41335C" w14:textId="77777777" w:rsidR="006F598D" w:rsidRDefault="006F598D"/>
    <w:p w14:paraId="065C2DB6" w14:textId="77777777" w:rsidR="006F598D" w:rsidRDefault="006F598D"/>
  </w:endnote>
  <w:endnote w:type="continuationSeparator" w:id="0">
    <w:p w14:paraId="07093974" w14:textId="77777777" w:rsidR="006F598D" w:rsidRDefault="006F598D">
      <w:r>
        <w:continuationSeparator/>
      </w:r>
    </w:p>
    <w:p w14:paraId="07EDD03D" w14:textId="77777777" w:rsidR="006F598D" w:rsidRDefault="006F598D"/>
    <w:p w14:paraId="495A775F" w14:textId="77777777" w:rsidR="006F598D" w:rsidRDefault="006F5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64C48" w14:textId="77777777" w:rsidR="006F598D" w:rsidRDefault="006F598D">
      <w:r>
        <w:separator/>
      </w:r>
    </w:p>
  </w:footnote>
  <w:footnote w:type="continuationSeparator" w:id="0">
    <w:p w14:paraId="035FCF52" w14:textId="77777777" w:rsidR="006F598D" w:rsidRDefault="006F598D">
      <w:r>
        <w:continuationSeparator/>
      </w:r>
    </w:p>
    <w:p w14:paraId="0DA13C7B" w14:textId="77777777" w:rsidR="006F598D" w:rsidRDefault="006F598D"/>
    <w:p w14:paraId="7D99FD4B" w14:textId="77777777" w:rsidR="006F598D" w:rsidRDefault="006F5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79A5" w14:textId="17368E78" w:rsidR="00095152" w:rsidRPr="00095152" w:rsidRDefault="00095152" w:rsidP="00095152">
    <w:pPr>
      <w:pStyle w:val="Header"/>
      <w:jc w:val="left"/>
      <w:rPr>
        <w:rFonts w:ascii="Arial" w:hAnsi="Arial"/>
      </w:rPr>
    </w:pPr>
    <w:r w:rsidRPr="00095152">
      <w:rPr>
        <w:rFonts w:ascii="Arial" w:hAnsi="Arial"/>
      </w:rPr>
      <w:t>IOC/A-31/3.5.</w:t>
    </w:r>
    <w:proofErr w:type="gramStart"/>
    <w:r w:rsidRPr="00095152">
      <w:rPr>
        <w:rFonts w:ascii="Arial" w:hAnsi="Arial"/>
      </w:rPr>
      <w:t>5.Doc</w:t>
    </w:r>
    <w:proofErr w:type="gramEnd"/>
    <w:r w:rsidRPr="00095152">
      <w:rPr>
        <w:rFonts w:ascii="Arial" w:hAnsi="Arial"/>
      </w:rPr>
      <w:t>(1</w:t>
    </w:r>
    <w:r>
      <w:rPr>
        <w:rFonts w:ascii="Arial" w:hAnsi="Arial"/>
      </w:rPr>
      <w:t>)</w:t>
    </w:r>
    <w:r>
      <w:rPr>
        <w:rFonts w:ascii="Arial" w:hAnsi="Arial"/>
      </w:rPr>
      <w:br/>
      <w:t xml:space="preserve">page </w:t>
    </w:r>
    <w:r w:rsidRPr="00095152">
      <w:rPr>
        <w:rFonts w:ascii="Arial" w:hAnsi="Arial"/>
      </w:rPr>
      <w:fldChar w:fldCharType="begin"/>
    </w:r>
    <w:r w:rsidRPr="00095152">
      <w:rPr>
        <w:rFonts w:ascii="Arial" w:hAnsi="Arial"/>
      </w:rPr>
      <w:instrText xml:space="preserve"> PAGE   \* MERGEFORMAT </w:instrText>
    </w:r>
    <w:r w:rsidRPr="00095152">
      <w:rPr>
        <w:rFonts w:ascii="Arial" w:hAnsi="Arial"/>
      </w:rPr>
      <w:fldChar w:fldCharType="separate"/>
    </w:r>
    <w:r w:rsidRPr="00095152">
      <w:rPr>
        <w:rFonts w:ascii="Arial" w:hAnsi="Arial"/>
        <w:noProof/>
      </w:rPr>
      <w:t>1</w:t>
    </w:r>
    <w:r w:rsidRPr="00095152">
      <w:rPr>
        <w:rFonts w:ascii="Arial" w:hAnsi="Arial"/>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2CCF" w14:textId="4600B659" w:rsidR="00095152" w:rsidRPr="00095152" w:rsidRDefault="00095152" w:rsidP="00095152">
    <w:pPr>
      <w:pStyle w:val="Header"/>
      <w:ind w:left="7230"/>
      <w:jc w:val="left"/>
      <w:rPr>
        <w:rFonts w:asciiTheme="minorBidi" w:hAnsiTheme="minorBidi" w:cstheme="minorBidi"/>
      </w:rPr>
    </w:pPr>
    <w:r w:rsidRPr="00095152">
      <w:rPr>
        <w:rFonts w:asciiTheme="minorBidi" w:hAnsiTheme="minorBidi" w:cstheme="minorBidi"/>
      </w:rPr>
      <w:t>IOC/A-31/3.5.</w:t>
    </w:r>
    <w:proofErr w:type="gramStart"/>
    <w:r w:rsidRPr="00095152">
      <w:rPr>
        <w:rFonts w:asciiTheme="minorBidi" w:hAnsiTheme="minorBidi" w:cstheme="minorBidi"/>
      </w:rPr>
      <w:t>5.Doc</w:t>
    </w:r>
    <w:proofErr w:type="gramEnd"/>
    <w:r w:rsidRPr="00095152">
      <w:rPr>
        <w:rFonts w:asciiTheme="minorBidi" w:hAnsiTheme="minorBidi" w:cstheme="minorBidi"/>
      </w:rPr>
      <w:t>(1)</w:t>
    </w:r>
    <w:r>
      <w:rPr>
        <w:rFonts w:asciiTheme="minorBidi" w:hAnsiTheme="minorBidi" w:cstheme="minorBidi"/>
      </w:rPr>
      <w:br/>
      <w:t>p</w:t>
    </w:r>
    <w:r w:rsidRPr="00095152">
      <w:rPr>
        <w:rFonts w:asciiTheme="minorBidi" w:hAnsiTheme="minorBidi" w:cstheme="minorBidi"/>
      </w:rPr>
      <w:t xml:space="preserve">age </w:t>
    </w:r>
    <w:r w:rsidRPr="00095152">
      <w:rPr>
        <w:rFonts w:asciiTheme="minorBidi" w:hAnsiTheme="minorBidi" w:cstheme="minorBidi"/>
      </w:rPr>
      <w:fldChar w:fldCharType="begin"/>
    </w:r>
    <w:r w:rsidRPr="00095152">
      <w:rPr>
        <w:rFonts w:asciiTheme="minorBidi" w:hAnsiTheme="minorBidi" w:cstheme="minorBidi"/>
      </w:rPr>
      <w:instrText xml:space="preserve"> PAGE   \* MERGEFORMAT </w:instrText>
    </w:r>
    <w:r w:rsidRPr="00095152">
      <w:rPr>
        <w:rFonts w:asciiTheme="minorBidi" w:hAnsiTheme="minorBidi" w:cstheme="minorBidi"/>
      </w:rPr>
      <w:fldChar w:fldCharType="separate"/>
    </w:r>
    <w:r w:rsidRPr="00095152">
      <w:rPr>
        <w:rFonts w:asciiTheme="minorBidi" w:hAnsiTheme="minorBidi" w:cstheme="minorBidi"/>
        <w:noProof/>
      </w:rPr>
      <w:t>1</w:t>
    </w:r>
    <w:r w:rsidRPr="00095152">
      <w:rPr>
        <w:rFonts w:asciiTheme="minorBidi" w:hAnsiTheme="minorBidi" w:cstheme="minorBid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85F6" w14:textId="77777777" w:rsidR="00095152" w:rsidRPr="00095152" w:rsidRDefault="00095152" w:rsidP="00095152">
    <w:pPr>
      <w:pStyle w:val="Marge"/>
      <w:tabs>
        <w:tab w:val="left" w:pos="6096"/>
      </w:tabs>
      <w:spacing w:after="0"/>
      <w:rPr>
        <w:rFonts w:asciiTheme="minorBidi" w:hAnsiTheme="minorBidi" w:cstheme="minorBidi"/>
        <w:b/>
        <w:szCs w:val="22"/>
      </w:rPr>
    </w:pPr>
    <w:r w:rsidRPr="00095152">
      <w:rPr>
        <w:rFonts w:asciiTheme="minorBidi" w:hAnsiTheme="minorBidi" w:cstheme="minorBidi"/>
        <w:szCs w:val="22"/>
        <w:lang w:val="es"/>
      </w:rPr>
      <w:t>Distribución restringida</w:t>
    </w:r>
    <w:r w:rsidRPr="00095152">
      <w:rPr>
        <w:rFonts w:asciiTheme="minorBidi" w:hAnsiTheme="minorBidi" w:cstheme="minorBidi"/>
        <w:szCs w:val="22"/>
        <w:lang w:val="es"/>
      </w:rPr>
      <w:tab/>
    </w:r>
    <w:r w:rsidRPr="00095152">
      <w:rPr>
        <w:rFonts w:asciiTheme="minorBidi" w:hAnsiTheme="minorBidi" w:cstheme="minorBidi"/>
        <w:b/>
        <w:bCs/>
        <w:sz w:val="32"/>
        <w:szCs w:val="32"/>
        <w:lang w:val="es"/>
      </w:rPr>
      <w:t>IOC/A-31/3.5.</w:t>
    </w:r>
    <w:proofErr w:type="gramStart"/>
    <w:r w:rsidRPr="00095152">
      <w:rPr>
        <w:rFonts w:asciiTheme="minorBidi" w:hAnsiTheme="minorBidi" w:cstheme="minorBidi"/>
        <w:b/>
        <w:bCs/>
        <w:sz w:val="32"/>
        <w:szCs w:val="32"/>
        <w:lang w:val="es"/>
      </w:rPr>
      <w:t>5</w:t>
    </w:r>
    <w:r w:rsidRPr="00095152">
      <w:rPr>
        <w:rFonts w:asciiTheme="minorBidi" w:hAnsiTheme="minorBidi" w:cstheme="minorBidi"/>
        <w:b/>
        <w:bCs/>
        <w:i/>
        <w:iCs/>
        <w:sz w:val="32"/>
        <w:szCs w:val="32"/>
        <w:lang w:val="es"/>
      </w:rPr>
      <w:t>.</w:t>
    </w:r>
    <w:r w:rsidRPr="00095152">
      <w:rPr>
        <w:rFonts w:asciiTheme="minorBidi" w:hAnsiTheme="minorBidi" w:cstheme="minorBidi"/>
        <w:b/>
        <w:bCs/>
        <w:sz w:val="32"/>
        <w:szCs w:val="32"/>
        <w:lang w:val="es"/>
      </w:rPr>
      <w:t>Doc</w:t>
    </w:r>
    <w:proofErr w:type="gramEnd"/>
    <w:r w:rsidRPr="00095152">
      <w:rPr>
        <w:rFonts w:asciiTheme="minorBidi" w:hAnsiTheme="minorBidi" w:cstheme="minorBidi"/>
        <w:b/>
        <w:bCs/>
        <w:sz w:val="32"/>
        <w:szCs w:val="32"/>
        <w:lang w:val="es"/>
      </w:rPr>
      <w:t>(1)</w:t>
    </w:r>
  </w:p>
  <w:p w14:paraId="5CB9EB35" w14:textId="77777777" w:rsidR="00095152" w:rsidRPr="00095152" w:rsidRDefault="00095152" w:rsidP="00095152">
    <w:pPr>
      <w:tabs>
        <w:tab w:val="left" w:pos="6096"/>
      </w:tabs>
      <w:rPr>
        <w:rFonts w:asciiTheme="minorBidi" w:hAnsiTheme="minorBidi" w:cstheme="minorBidi"/>
        <w:b/>
        <w:szCs w:val="22"/>
      </w:rPr>
    </w:pPr>
  </w:p>
  <w:p w14:paraId="63813CF9" w14:textId="77777777" w:rsidR="00095152" w:rsidRPr="00095152" w:rsidRDefault="00095152" w:rsidP="00095152">
    <w:pPr>
      <w:tabs>
        <w:tab w:val="left" w:pos="6096"/>
      </w:tabs>
      <w:ind w:firstLine="3544"/>
      <w:rPr>
        <w:rFonts w:asciiTheme="minorBidi" w:hAnsiTheme="minorBidi" w:cstheme="minorBidi"/>
        <w:szCs w:val="22"/>
      </w:rPr>
    </w:pPr>
    <w:r w:rsidRPr="00095152">
      <w:rPr>
        <w:rFonts w:asciiTheme="minorBidi" w:hAnsiTheme="minorBidi" w:cstheme="minorBidi"/>
        <w:szCs w:val="22"/>
        <w:lang w:val="es"/>
      </w:rPr>
      <w:tab/>
      <w:t>París, 21 de mayo de 2021</w:t>
    </w:r>
  </w:p>
  <w:p w14:paraId="700D0BCC" w14:textId="65704CA9" w:rsidR="00095152" w:rsidRPr="00095152" w:rsidRDefault="00095152" w:rsidP="00095152">
    <w:pPr>
      <w:tabs>
        <w:tab w:val="left" w:pos="6096"/>
      </w:tabs>
      <w:ind w:firstLine="3544"/>
      <w:rPr>
        <w:rFonts w:asciiTheme="minorBidi" w:hAnsiTheme="minorBidi" w:cstheme="minorBidi"/>
        <w:szCs w:val="22"/>
      </w:rPr>
    </w:pPr>
    <w:r w:rsidRPr="00095152">
      <w:rPr>
        <w:rFonts w:asciiTheme="minorBidi" w:hAnsiTheme="minorBidi" w:cstheme="minorBidi"/>
        <w:szCs w:val="22"/>
        <w:lang w:val="es"/>
      </w:rPr>
      <w:tab/>
      <w:t xml:space="preserve">Original: </w:t>
    </w:r>
    <w:r>
      <w:rPr>
        <w:rFonts w:asciiTheme="minorBidi" w:hAnsiTheme="minorBidi" w:cstheme="minorBidi"/>
        <w:szCs w:val="22"/>
        <w:lang w:val="es"/>
      </w:rPr>
      <w:t>i</w:t>
    </w:r>
    <w:r w:rsidRPr="00095152">
      <w:rPr>
        <w:rFonts w:asciiTheme="minorBidi" w:hAnsiTheme="minorBidi" w:cstheme="minorBidi"/>
        <w:szCs w:val="22"/>
        <w:lang w:val="es"/>
      </w:rPr>
      <w:t>nglés</w:t>
    </w:r>
  </w:p>
  <w:p w14:paraId="3F8A8E2A" w14:textId="77777777" w:rsidR="00095152" w:rsidRPr="00095152" w:rsidRDefault="00095152" w:rsidP="00095152">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rPr>
        <w:rFonts w:asciiTheme="minorBidi" w:hAnsiTheme="minorBidi" w:cstheme="minorBidi"/>
        <w:b/>
        <w:szCs w:val="22"/>
      </w:rPr>
    </w:pPr>
  </w:p>
  <w:p w14:paraId="417CC13E" w14:textId="77777777" w:rsidR="00095152" w:rsidRPr="00095152" w:rsidRDefault="00095152" w:rsidP="0009515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asciiTheme="minorBidi" w:hAnsiTheme="minorBidi" w:cstheme="minorBidi"/>
        <w:b/>
        <w:szCs w:val="22"/>
      </w:rPr>
    </w:pPr>
  </w:p>
  <w:p w14:paraId="6A0E3526" w14:textId="77777777" w:rsidR="00095152" w:rsidRPr="00095152" w:rsidRDefault="00095152" w:rsidP="0009515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cstheme="minorBidi"/>
        <w:b/>
        <w:sz w:val="24"/>
      </w:rPr>
    </w:pPr>
    <w:r w:rsidRPr="00095152">
      <w:rPr>
        <w:rFonts w:asciiTheme="minorBidi" w:hAnsiTheme="minorBidi" w:cstheme="minorBidi"/>
        <w:noProof/>
        <w:sz w:val="24"/>
        <w:lang w:val="es"/>
      </w:rPr>
      <w:drawing>
        <wp:anchor distT="0" distB="0" distL="114300" distR="114300" simplePos="0" relativeHeight="251659264" behindDoc="1" locked="0" layoutInCell="1" allowOverlap="1" wp14:anchorId="58B5871A" wp14:editId="470CD1A1">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152">
      <w:rPr>
        <w:rFonts w:asciiTheme="minorBidi" w:hAnsiTheme="minorBidi" w:cstheme="minorBidi"/>
        <w:b/>
        <w:bCs/>
        <w:sz w:val="24"/>
        <w:lang w:val="es"/>
      </w:rPr>
      <w:t>COMISIÓN OCEANOGRÁFICA INTERGUBERNAMENTAL</w:t>
    </w:r>
  </w:p>
  <w:p w14:paraId="3E19D38A" w14:textId="77777777" w:rsidR="00095152" w:rsidRPr="00095152" w:rsidRDefault="00095152" w:rsidP="0009515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cstheme="minorBidi"/>
        <w:sz w:val="24"/>
      </w:rPr>
    </w:pPr>
    <w:r w:rsidRPr="00095152">
      <w:rPr>
        <w:rFonts w:asciiTheme="minorBidi" w:hAnsiTheme="minorBidi" w:cstheme="minorBidi"/>
        <w:sz w:val="24"/>
        <w:lang w:val="es"/>
      </w:rPr>
      <w:t>(de la UNESCO)</w:t>
    </w:r>
  </w:p>
  <w:p w14:paraId="7FD51BB6" w14:textId="77777777" w:rsidR="00095152" w:rsidRPr="00095152" w:rsidRDefault="00095152" w:rsidP="0009515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asciiTheme="minorBidi" w:hAnsiTheme="minorBidi" w:cstheme="minorBidi"/>
        <w:b/>
        <w:sz w:val="24"/>
      </w:rPr>
    </w:pPr>
  </w:p>
  <w:p w14:paraId="2D95195E" w14:textId="77777777" w:rsidR="00095152" w:rsidRPr="00095152" w:rsidRDefault="00095152" w:rsidP="00095152">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Theme="minorBidi" w:hAnsiTheme="minorBidi" w:cstheme="minorBidi"/>
        <w:b/>
        <w:sz w:val="24"/>
      </w:rPr>
    </w:pPr>
    <w:r w:rsidRPr="00095152">
      <w:rPr>
        <w:rFonts w:asciiTheme="minorBidi" w:hAnsiTheme="minorBidi" w:cstheme="minorBidi"/>
        <w:b/>
        <w:bCs/>
        <w:sz w:val="24"/>
        <w:lang w:val="es"/>
      </w:rPr>
      <w:t>31.ª reunión de la Asamblea</w:t>
    </w:r>
  </w:p>
  <w:p w14:paraId="4BFAF58D" w14:textId="77777777" w:rsidR="00095152" w:rsidRPr="00095152" w:rsidRDefault="00095152" w:rsidP="00095152">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Theme="minorBidi" w:hAnsiTheme="minorBidi" w:cstheme="minorBidi"/>
        <w:sz w:val="24"/>
      </w:rPr>
    </w:pPr>
    <w:r w:rsidRPr="00095152">
      <w:rPr>
        <w:rFonts w:asciiTheme="minorBidi" w:hAnsiTheme="minorBidi" w:cstheme="minorBidi"/>
        <w:sz w:val="24"/>
        <w:lang w:val="es"/>
      </w:rPr>
      <w:t>UNESCO, 14-25 de junio de 2021 (en línea)</w:t>
    </w:r>
  </w:p>
  <w:p w14:paraId="75AB0A38" w14:textId="77777777" w:rsidR="00095152" w:rsidRPr="00095152" w:rsidRDefault="00095152" w:rsidP="00095152">
    <w:pPr>
      <w:tabs>
        <w:tab w:val="left" w:pos="-1440"/>
        <w:tab w:val="left" w:pos="-720"/>
        <w:tab w:val="left" w:pos="720"/>
        <w:tab w:val="left" w:pos="1440"/>
        <w:tab w:val="left" w:pos="2160"/>
        <w:tab w:val="left" w:pos="3600"/>
        <w:tab w:val="left" w:pos="4320"/>
        <w:tab w:val="left" w:pos="5040"/>
        <w:tab w:val="left" w:pos="5523"/>
        <w:tab w:val="left" w:pos="6480"/>
      </w:tabs>
      <w:ind w:left="2772"/>
      <w:rPr>
        <w:rFonts w:asciiTheme="minorBidi" w:hAnsiTheme="minorBidi" w:cstheme="minorBidi"/>
        <w:bCs/>
        <w:szCs w:val="22"/>
      </w:rPr>
    </w:pPr>
  </w:p>
  <w:p w14:paraId="3DB40B0B" w14:textId="77777777" w:rsidR="00095152" w:rsidRPr="00095152" w:rsidRDefault="00095152" w:rsidP="00095152">
    <w:pPr>
      <w:jc w:val="center"/>
      <w:rPr>
        <w:rFonts w:asciiTheme="minorBidi" w:hAnsiTheme="minorBidi" w:cstheme="minorBidi"/>
        <w:szCs w:val="22"/>
      </w:rPr>
    </w:pPr>
  </w:p>
  <w:p w14:paraId="3F1872D9" w14:textId="77777777" w:rsidR="00095152" w:rsidRPr="00095152" w:rsidRDefault="00095152" w:rsidP="00095152">
    <w:pPr>
      <w:jc w:val="center"/>
      <w:rPr>
        <w:rFonts w:asciiTheme="minorBidi" w:hAnsiTheme="minorBidi" w:cstheme="minorBidi"/>
        <w:szCs w:val="22"/>
      </w:rPr>
    </w:pPr>
  </w:p>
  <w:p w14:paraId="27FABE1C" w14:textId="77777777" w:rsidR="00095152" w:rsidRPr="00095152" w:rsidRDefault="00095152" w:rsidP="00095152">
    <w:pPr>
      <w:jc w:val="center"/>
      <w:rPr>
        <w:rFonts w:asciiTheme="minorBidi" w:hAnsiTheme="minorBidi" w:cstheme="minorBidi"/>
        <w:szCs w:val="22"/>
      </w:rPr>
    </w:pPr>
  </w:p>
  <w:p w14:paraId="595BF264" w14:textId="77777777" w:rsidR="00095152" w:rsidRPr="00095152" w:rsidRDefault="00095152" w:rsidP="00095152">
    <w:pPr>
      <w:jc w:val="center"/>
      <w:rPr>
        <w:rFonts w:asciiTheme="minorBidi" w:hAnsiTheme="minorBidi" w:cstheme="minorBidi"/>
        <w:szCs w:val="22"/>
      </w:rPr>
    </w:pPr>
  </w:p>
  <w:p w14:paraId="376EC557" w14:textId="77777777" w:rsidR="00095152" w:rsidRPr="00095152" w:rsidRDefault="00095152" w:rsidP="00095152">
    <w:pPr>
      <w:jc w:val="center"/>
      <w:rPr>
        <w:rFonts w:asciiTheme="minorBidi" w:hAnsiTheme="minorBidi" w:cstheme="minorBidi"/>
        <w:szCs w:val="22"/>
      </w:rPr>
    </w:pPr>
  </w:p>
  <w:p w14:paraId="2F955A5F" w14:textId="77777777" w:rsidR="00095152" w:rsidRPr="00095152" w:rsidRDefault="00095152" w:rsidP="00095152">
    <w:pPr>
      <w:jc w:val="center"/>
      <w:rPr>
        <w:rFonts w:asciiTheme="minorBidi" w:hAnsiTheme="minorBidi" w:cstheme="minorBidi"/>
        <w:szCs w:val="22"/>
      </w:rPr>
    </w:pPr>
  </w:p>
  <w:p w14:paraId="0FB8B818" w14:textId="77777777" w:rsidR="00095152" w:rsidRPr="00095152" w:rsidRDefault="00095152" w:rsidP="00095152">
    <w:pPr>
      <w:pStyle w:val="Heading7"/>
      <w:tabs>
        <w:tab w:val="right" w:pos="9540"/>
      </w:tabs>
      <w:rPr>
        <w:rFonts w:asciiTheme="minorBidi" w:hAnsiTheme="minorBidi" w:cstheme="minorBidi"/>
        <w:color w:val="auto"/>
        <w:sz w:val="24"/>
      </w:rPr>
    </w:pPr>
    <w:r w:rsidRPr="00095152">
      <w:rPr>
        <w:rFonts w:asciiTheme="minorBidi" w:hAnsiTheme="minorBidi" w:cstheme="minorBidi"/>
        <w:b w:val="0"/>
        <w:bCs w:val="0"/>
        <w:color w:val="auto"/>
        <w:sz w:val="24"/>
        <w:u w:val="single"/>
        <w:lang w:val="es"/>
      </w:rPr>
      <w:t xml:space="preserve">Punto </w:t>
    </w:r>
    <w:r w:rsidRPr="00095152">
      <w:rPr>
        <w:rFonts w:asciiTheme="minorBidi" w:hAnsiTheme="minorBidi" w:cstheme="minorBidi"/>
        <w:color w:val="auto"/>
        <w:sz w:val="24"/>
        <w:u w:val="single"/>
        <w:lang w:val="es"/>
      </w:rPr>
      <w:t>3.5.5</w:t>
    </w:r>
    <w:r w:rsidRPr="00095152">
      <w:rPr>
        <w:rFonts w:asciiTheme="minorBidi" w:hAnsiTheme="minorBidi" w:cstheme="minorBidi"/>
        <w:b w:val="0"/>
        <w:bCs w:val="0"/>
        <w:color w:val="auto"/>
        <w:sz w:val="24"/>
        <w:u w:val="single"/>
        <w:lang w:val="es"/>
      </w:rPr>
      <w:t xml:space="preserve"> del orden del día provisional</w:t>
    </w:r>
  </w:p>
  <w:p w14:paraId="3C7B326E" w14:textId="77777777" w:rsidR="00095152" w:rsidRPr="00095152" w:rsidRDefault="00095152" w:rsidP="00095152">
    <w:pPr>
      <w:rPr>
        <w:rFonts w:asciiTheme="minorBidi" w:hAnsiTheme="minorBidi" w:cstheme="minorBidi"/>
        <w:szCs w:val="22"/>
      </w:rPr>
    </w:pPr>
  </w:p>
  <w:p w14:paraId="5D4A8B43" w14:textId="77777777" w:rsidR="00095152" w:rsidRPr="00095152" w:rsidRDefault="00095152" w:rsidP="00095152">
    <w:pPr>
      <w:rPr>
        <w:rFonts w:asciiTheme="minorBidi" w:hAnsiTheme="minorBidi" w:cstheme="minorBidi"/>
        <w:szCs w:val="22"/>
      </w:rPr>
    </w:pPr>
  </w:p>
  <w:p w14:paraId="0FCD795C" w14:textId="77777777" w:rsidR="00095152" w:rsidRPr="00095152" w:rsidRDefault="00095152" w:rsidP="00095152">
    <w:pPr>
      <w:pStyle w:val="Docheading"/>
      <w:rPr>
        <w:rFonts w:asciiTheme="minorBidi" w:hAnsiTheme="minorBidi" w:cstheme="minorBidi"/>
      </w:rPr>
    </w:pPr>
    <w:r w:rsidRPr="00095152">
      <w:rPr>
        <w:rFonts w:asciiTheme="minorBidi" w:hAnsiTheme="minorBidi" w:cstheme="minorBidi"/>
        <w:lang w:val="es"/>
      </w:rPr>
      <w:t>Estrategia de colaboración OMM-COI</w:t>
    </w:r>
  </w:p>
  <w:p w14:paraId="2C9ECFD2" w14:textId="77777777" w:rsidR="00095152" w:rsidRDefault="00095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C7D3FFF"/>
    <w:multiLevelType w:val="multilevel"/>
    <w:tmpl w:val="A620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621FC"/>
    <w:multiLevelType w:val="hybridMultilevel"/>
    <w:tmpl w:val="15BAFFD2"/>
    <w:lvl w:ilvl="0" w:tplc="E7067A8C">
      <w:start w:val="1"/>
      <w:numFmt w:val="decimal"/>
      <w:lvlText w:val="%1."/>
      <w:lvlJc w:val="left"/>
      <w:pPr>
        <w:ind w:left="1637"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91B471C"/>
    <w:multiLevelType w:val="multilevel"/>
    <w:tmpl w:val="6D84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8E5C88"/>
    <w:multiLevelType w:val="multilevel"/>
    <w:tmpl w:val="14B82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D43513"/>
    <w:multiLevelType w:val="multilevel"/>
    <w:tmpl w:val="D070D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9"/>
  </w:num>
  <w:num w:numId="3">
    <w:abstractNumId w:val="28"/>
  </w:num>
  <w:num w:numId="4">
    <w:abstractNumId w:val="39"/>
  </w:num>
  <w:num w:numId="5">
    <w:abstractNumId w:val="18"/>
  </w:num>
  <w:num w:numId="6">
    <w:abstractNumId w:val="23"/>
  </w:num>
  <w:num w:numId="7">
    <w:abstractNumId w:val="19"/>
  </w:num>
  <w:num w:numId="8">
    <w:abstractNumId w:val="32"/>
  </w:num>
  <w:num w:numId="9">
    <w:abstractNumId w:val="22"/>
  </w:num>
  <w:num w:numId="10">
    <w:abstractNumId w:val="21"/>
  </w:num>
  <w:num w:numId="11">
    <w:abstractNumId w:val="38"/>
  </w:num>
  <w:num w:numId="12">
    <w:abstractNumId w:val="11"/>
  </w:num>
  <w:num w:numId="13">
    <w:abstractNumId w:val="26"/>
  </w:num>
  <w:num w:numId="14">
    <w:abstractNumId w:val="44"/>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7"/>
  </w:num>
  <w:num w:numId="27">
    <w:abstractNumId w:val="33"/>
  </w:num>
  <w:num w:numId="28">
    <w:abstractNumId w:val="24"/>
  </w:num>
  <w:num w:numId="29">
    <w:abstractNumId w:val="35"/>
  </w:num>
  <w:num w:numId="30">
    <w:abstractNumId w:val="36"/>
  </w:num>
  <w:num w:numId="31">
    <w:abstractNumId w:val="15"/>
  </w:num>
  <w:num w:numId="32">
    <w:abstractNumId w:val="42"/>
  </w:num>
  <w:num w:numId="33">
    <w:abstractNumId w:val="40"/>
  </w:num>
  <w:num w:numId="34">
    <w:abstractNumId w:val="25"/>
  </w:num>
  <w:num w:numId="35">
    <w:abstractNumId w:val="27"/>
  </w:num>
  <w:num w:numId="36">
    <w:abstractNumId w:val="48"/>
  </w:num>
  <w:num w:numId="37">
    <w:abstractNumId w:val="37"/>
  </w:num>
  <w:num w:numId="38">
    <w:abstractNumId w:val="12"/>
  </w:num>
  <w:num w:numId="39">
    <w:abstractNumId w:val="13"/>
  </w:num>
  <w:num w:numId="40">
    <w:abstractNumId w:val="16"/>
  </w:num>
  <w:num w:numId="41">
    <w:abstractNumId w:val="10"/>
  </w:num>
  <w:num w:numId="42">
    <w:abstractNumId w:val="45"/>
  </w:num>
  <w:num w:numId="43">
    <w:abstractNumId w:val="17"/>
  </w:num>
  <w:num w:numId="44">
    <w:abstractNumId w:val="29"/>
  </w:num>
  <w:num w:numId="45">
    <w:abstractNumId w:val="41"/>
  </w:num>
  <w:num w:numId="46">
    <w:abstractNumId w:val="14"/>
    <w:lvlOverride w:ilvl="0">
      <w:lvl w:ilvl="0">
        <w:start w:val="1"/>
        <w:numFmt w:val="decimal"/>
        <w:lvlText w:val="%1."/>
        <w:lvlJc w:val="left"/>
        <w:pPr>
          <w:ind w:left="720" w:hanging="360"/>
        </w:pPr>
        <w:rPr>
          <w:u w:val="none"/>
        </w:rPr>
      </w:lvl>
    </w:lvlOverride>
  </w:num>
  <w:num w:numId="47">
    <w:abstractNumId w:val="46"/>
    <w:lvlOverride w:ilvl="0">
      <w:lvl w:ilvl="0">
        <w:start w:val="1"/>
        <w:numFmt w:val="bullet"/>
        <w:lvlText w:val="●"/>
        <w:lvlJc w:val="left"/>
        <w:pPr>
          <w:ind w:left="1440" w:hanging="360"/>
        </w:pPr>
        <w:rPr>
          <w:u w:val="none"/>
        </w:rPr>
      </w:lvl>
    </w:lvlOverride>
  </w:num>
  <w:num w:numId="48">
    <w:abstractNumId w:val="34"/>
    <w:lvlOverride w:ilvl="0">
      <w:lvl w:ilvl="0">
        <w:start w:val="1"/>
        <w:numFmt w:val="bullet"/>
        <w:lvlText w:val="●"/>
        <w:lvlJc w:val="left"/>
        <w:pPr>
          <w:ind w:left="720" w:hanging="360"/>
        </w:pPr>
        <w:rPr>
          <w:u w:val="none"/>
        </w:rPr>
      </w:lvl>
    </w:lvlOverride>
  </w:num>
  <w:num w:numId="49">
    <w:abstractNumId w:val="43"/>
    <w:lvlOverride w:ilvl="0">
      <w:lvl w:ilvl="0">
        <w:start w:val="1"/>
        <w:numFmt w:val="bullet"/>
        <w:lvlText w:val="●"/>
        <w:lvlJc w:val="left"/>
        <w:pPr>
          <w:ind w:left="720" w:hanging="360"/>
        </w:pPr>
        <w:rPr>
          <w:u w:val="none"/>
        </w:rPr>
      </w:lvl>
    </w:lvlOverride>
  </w:num>
  <w:num w:numId="50">
    <w:abstractNumId w:val="30"/>
    <w:lvlOverride w:ilvl="0">
      <w:lvl w:ilvl="0" w:tplc="E7067A8C">
        <w:start w:val="1"/>
        <w:numFmt w:val="decimal"/>
        <w:lvlText w:val="%1."/>
        <w:lvlJc w:val="left"/>
        <w:pPr>
          <w:ind w:left="1637" w:hanging="360"/>
        </w:pPr>
        <w:rPr>
          <w:rFonts w:hint="default"/>
          <w:b w:val="0"/>
          <w:bCs/>
          <w:i w:val="0"/>
          <w:i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CC"/>
    <w:rsid w:val="00002EAC"/>
    <w:rsid w:val="000206A8"/>
    <w:rsid w:val="000236AF"/>
    <w:rsid w:val="00026125"/>
    <w:rsid w:val="0003137A"/>
    <w:rsid w:val="00041171"/>
    <w:rsid w:val="000414C7"/>
    <w:rsid w:val="00041727"/>
    <w:rsid w:val="0004226F"/>
    <w:rsid w:val="00045FDC"/>
    <w:rsid w:val="00050F8E"/>
    <w:rsid w:val="000573AD"/>
    <w:rsid w:val="00063F55"/>
    <w:rsid w:val="00064F6B"/>
    <w:rsid w:val="000673F3"/>
    <w:rsid w:val="00072F17"/>
    <w:rsid w:val="00073150"/>
    <w:rsid w:val="000762A6"/>
    <w:rsid w:val="000806D8"/>
    <w:rsid w:val="00082C80"/>
    <w:rsid w:val="00083847"/>
    <w:rsid w:val="00083C36"/>
    <w:rsid w:val="00084F76"/>
    <w:rsid w:val="000865C2"/>
    <w:rsid w:val="00095152"/>
    <w:rsid w:val="00095D0C"/>
    <w:rsid w:val="00095E48"/>
    <w:rsid w:val="000A60AB"/>
    <w:rsid w:val="000A69BF"/>
    <w:rsid w:val="000C225A"/>
    <w:rsid w:val="000C6781"/>
    <w:rsid w:val="000D0EC3"/>
    <w:rsid w:val="000E06E5"/>
    <w:rsid w:val="000E7775"/>
    <w:rsid w:val="000F5E49"/>
    <w:rsid w:val="000F62F0"/>
    <w:rsid w:val="000F7A87"/>
    <w:rsid w:val="00105D2E"/>
    <w:rsid w:val="00106A3B"/>
    <w:rsid w:val="0011124C"/>
    <w:rsid w:val="00111BFD"/>
    <w:rsid w:val="0011498B"/>
    <w:rsid w:val="00120147"/>
    <w:rsid w:val="00121F76"/>
    <w:rsid w:val="00121FFA"/>
    <w:rsid w:val="00123140"/>
    <w:rsid w:val="00123D94"/>
    <w:rsid w:val="00124430"/>
    <w:rsid w:val="001337F1"/>
    <w:rsid w:val="00141A36"/>
    <w:rsid w:val="001527A3"/>
    <w:rsid w:val="00156F9B"/>
    <w:rsid w:val="00160A77"/>
    <w:rsid w:val="00163BA3"/>
    <w:rsid w:val="00165730"/>
    <w:rsid w:val="00166B31"/>
    <w:rsid w:val="00166E98"/>
    <w:rsid w:val="00173C9D"/>
    <w:rsid w:val="00180771"/>
    <w:rsid w:val="001930A3"/>
    <w:rsid w:val="00196EB8"/>
    <w:rsid w:val="001A341E"/>
    <w:rsid w:val="001A77FC"/>
    <w:rsid w:val="001B0E42"/>
    <w:rsid w:val="001B0EA6"/>
    <w:rsid w:val="001B198E"/>
    <w:rsid w:val="001B1CDF"/>
    <w:rsid w:val="001B56F4"/>
    <w:rsid w:val="001B74D5"/>
    <w:rsid w:val="001C46A1"/>
    <w:rsid w:val="001C5462"/>
    <w:rsid w:val="001C56D4"/>
    <w:rsid w:val="001D140C"/>
    <w:rsid w:val="001D265C"/>
    <w:rsid w:val="001D3062"/>
    <w:rsid w:val="001D3CFB"/>
    <w:rsid w:val="001D559B"/>
    <w:rsid w:val="001D6302"/>
    <w:rsid w:val="001E740C"/>
    <w:rsid w:val="001E7DD0"/>
    <w:rsid w:val="001F0252"/>
    <w:rsid w:val="001F1BDA"/>
    <w:rsid w:val="0020095E"/>
    <w:rsid w:val="002079D1"/>
    <w:rsid w:val="00210D30"/>
    <w:rsid w:val="002134EC"/>
    <w:rsid w:val="002178F1"/>
    <w:rsid w:val="002204FD"/>
    <w:rsid w:val="0022560A"/>
    <w:rsid w:val="002308B5"/>
    <w:rsid w:val="00234A34"/>
    <w:rsid w:val="00251083"/>
    <w:rsid w:val="0025255D"/>
    <w:rsid w:val="00255EE3"/>
    <w:rsid w:val="002566E1"/>
    <w:rsid w:val="00262E4C"/>
    <w:rsid w:val="00266262"/>
    <w:rsid w:val="00270480"/>
    <w:rsid w:val="00271E1A"/>
    <w:rsid w:val="0027788D"/>
    <w:rsid w:val="002779AF"/>
    <w:rsid w:val="002823D8"/>
    <w:rsid w:val="002833B4"/>
    <w:rsid w:val="0028531A"/>
    <w:rsid w:val="00285446"/>
    <w:rsid w:val="002867F7"/>
    <w:rsid w:val="0028695D"/>
    <w:rsid w:val="00286E60"/>
    <w:rsid w:val="00292B1D"/>
    <w:rsid w:val="00293E35"/>
    <w:rsid w:val="00295593"/>
    <w:rsid w:val="002A34CC"/>
    <w:rsid w:val="002A354F"/>
    <w:rsid w:val="002A386C"/>
    <w:rsid w:val="002B540D"/>
    <w:rsid w:val="002C30BC"/>
    <w:rsid w:val="002C5965"/>
    <w:rsid w:val="002C6994"/>
    <w:rsid w:val="002C7A88"/>
    <w:rsid w:val="002D232B"/>
    <w:rsid w:val="002D2759"/>
    <w:rsid w:val="002D3C33"/>
    <w:rsid w:val="002D5E00"/>
    <w:rsid w:val="002D6DAC"/>
    <w:rsid w:val="002E197D"/>
    <w:rsid w:val="002E261D"/>
    <w:rsid w:val="002E3FAD"/>
    <w:rsid w:val="002E4E16"/>
    <w:rsid w:val="002F2DF6"/>
    <w:rsid w:val="002F2EBF"/>
    <w:rsid w:val="002F6DAC"/>
    <w:rsid w:val="00301E8C"/>
    <w:rsid w:val="003025CB"/>
    <w:rsid w:val="00314D5D"/>
    <w:rsid w:val="00320009"/>
    <w:rsid w:val="0032424A"/>
    <w:rsid w:val="003245D3"/>
    <w:rsid w:val="00327D41"/>
    <w:rsid w:val="00330AA3"/>
    <w:rsid w:val="00332136"/>
    <w:rsid w:val="00334987"/>
    <w:rsid w:val="00342E34"/>
    <w:rsid w:val="003461DC"/>
    <w:rsid w:val="0035041D"/>
    <w:rsid w:val="00352D06"/>
    <w:rsid w:val="00371CF1"/>
    <w:rsid w:val="003750C1"/>
    <w:rsid w:val="00380AF7"/>
    <w:rsid w:val="00394A05"/>
    <w:rsid w:val="00397770"/>
    <w:rsid w:val="00397880"/>
    <w:rsid w:val="003A7016"/>
    <w:rsid w:val="003B0A3D"/>
    <w:rsid w:val="003C17A5"/>
    <w:rsid w:val="003C3086"/>
    <w:rsid w:val="003C3965"/>
    <w:rsid w:val="003D1552"/>
    <w:rsid w:val="003D5A17"/>
    <w:rsid w:val="003E3E6A"/>
    <w:rsid w:val="003E4046"/>
    <w:rsid w:val="003E49B8"/>
    <w:rsid w:val="003F003A"/>
    <w:rsid w:val="003F0CDE"/>
    <w:rsid w:val="003F125B"/>
    <w:rsid w:val="003F4837"/>
    <w:rsid w:val="003F784F"/>
    <w:rsid w:val="003F7B3F"/>
    <w:rsid w:val="00402F84"/>
    <w:rsid w:val="004031C3"/>
    <w:rsid w:val="0041078D"/>
    <w:rsid w:val="00416F97"/>
    <w:rsid w:val="00425BF5"/>
    <w:rsid w:val="0043039B"/>
    <w:rsid w:val="00431314"/>
    <w:rsid w:val="00432D7D"/>
    <w:rsid w:val="004423FE"/>
    <w:rsid w:val="00445C35"/>
    <w:rsid w:val="004548A8"/>
    <w:rsid w:val="0045616E"/>
    <w:rsid w:val="0045663A"/>
    <w:rsid w:val="0046344E"/>
    <w:rsid w:val="004667E7"/>
    <w:rsid w:val="00471E3B"/>
    <w:rsid w:val="00475797"/>
    <w:rsid w:val="0048524B"/>
    <w:rsid w:val="0049253B"/>
    <w:rsid w:val="0049632A"/>
    <w:rsid w:val="004A140B"/>
    <w:rsid w:val="004A6403"/>
    <w:rsid w:val="004A6A87"/>
    <w:rsid w:val="004B33A5"/>
    <w:rsid w:val="004B7BAA"/>
    <w:rsid w:val="004C0747"/>
    <w:rsid w:val="004C2DF7"/>
    <w:rsid w:val="004C4B75"/>
    <w:rsid w:val="004C4E0B"/>
    <w:rsid w:val="004D497E"/>
    <w:rsid w:val="004E1628"/>
    <w:rsid w:val="004E4809"/>
    <w:rsid w:val="004E5985"/>
    <w:rsid w:val="004E6352"/>
    <w:rsid w:val="004E6460"/>
    <w:rsid w:val="004F6B46"/>
    <w:rsid w:val="0050779E"/>
    <w:rsid w:val="0051190A"/>
    <w:rsid w:val="00511999"/>
    <w:rsid w:val="00514EAC"/>
    <w:rsid w:val="00520985"/>
    <w:rsid w:val="00521EA5"/>
    <w:rsid w:val="00524F96"/>
    <w:rsid w:val="00525B80"/>
    <w:rsid w:val="0052653B"/>
    <w:rsid w:val="00527225"/>
    <w:rsid w:val="0053098F"/>
    <w:rsid w:val="005349C4"/>
    <w:rsid w:val="0053554A"/>
    <w:rsid w:val="00536B2E"/>
    <w:rsid w:val="00540DAE"/>
    <w:rsid w:val="00542723"/>
    <w:rsid w:val="00543C44"/>
    <w:rsid w:val="00546A3B"/>
    <w:rsid w:val="00546B88"/>
    <w:rsid w:val="00546C4F"/>
    <w:rsid w:val="00546D8E"/>
    <w:rsid w:val="00551A97"/>
    <w:rsid w:val="00553738"/>
    <w:rsid w:val="00567AC1"/>
    <w:rsid w:val="00571AE1"/>
    <w:rsid w:val="00576283"/>
    <w:rsid w:val="005802CF"/>
    <w:rsid w:val="005804B1"/>
    <w:rsid w:val="00585D9D"/>
    <w:rsid w:val="005875B6"/>
    <w:rsid w:val="00591004"/>
    <w:rsid w:val="005911C9"/>
    <w:rsid w:val="00591D07"/>
    <w:rsid w:val="00592267"/>
    <w:rsid w:val="0059421F"/>
    <w:rsid w:val="00596CF0"/>
    <w:rsid w:val="00597835"/>
    <w:rsid w:val="005A24CE"/>
    <w:rsid w:val="005B0AE2"/>
    <w:rsid w:val="005B1F2C"/>
    <w:rsid w:val="005B5F3C"/>
    <w:rsid w:val="005C4EB4"/>
    <w:rsid w:val="005D03D9"/>
    <w:rsid w:val="005D1EE8"/>
    <w:rsid w:val="005D56AE"/>
    <w:rsid w:val="005D666D"/>
    <w:rsid w:val="005D7E8C"/>
    <w:rsid w:val="005E3A59"/>
    <w:rsid w:val="00604802"/>
    <w:rsid w:val="00605815"/>
    <w:rsid w:val="00606688"/>
    <w:rsid w:val="00612253"/>
    <w:rsid w:val="00615AB0"/>
    <w:rsid w:val="0061778C"/>
    <w:rsid w:val="00625D4A"/>
    <w:rsid w:val="00636B90"/>
    <w:rsid w:val="00644755"/>
    <w:rsid w:val="0064738B"/>
    <w:rsid w:val="006508EA"/>
    <w:rsid w:val="00661BD9"/>
    <w:rsid w:val="00667E86"/>
    <w:rsid w:val="00681B32"/>
    <w:rsid w:val="00681C29"/>
    <w:rsid w:val="006831F7"/>
    <w:rsid w:val="0068392D"/>
    <w:rsid w:val="00686F8F"/>
    <w:rsid w:val="0069773B"/>
    <w:rsid w:val="00697DB5"/>
    <w:rsid w:val="006A0245"/>
    <w:rsid w:val="006A1B33"/>
    <w:rsid w:val="006A492A"/>
    <w:rsid w:val="006A5469"/>
    <w:rsid w:val="006A7001"/>
    <w:rsid w:val="006B4745"/>
    <w:rsid w:val="006B5C72"/>
    <w:rsid w:val="006C17F8"/>
    <w:rsid w:val="006D0310"/>
    <w:rsid w:val="006D1CB5"/>
    <w:rsid w:val="006D2009"/>
    <w:rsid w:val="006D5576"/>
    <w:rsid w:val="006E766D"/>
    <w:rsid w:val="006F31F5"/>
    <w:rsid w:val="006F4B29"/>
    <w:rsid w:val="006F598D"/>
    <w:rsid w:val="006F6071"/>
    <w:rsid w:val="006F6CE9"/>
    <w:rsid w:val="0070517C"/>
    <w:rsid w:val="007058EC"/>
    <w:rsid w:val="00705C9F"/>
    <w:rsid w:val="00716951"/>
    <w:rsid w:val="00720A89"/>
    <w:rsid w:val="00720F6B"/>
    <w:rsid w:val="00733C9E"/>
    <w:rsid w:val="0073574E"/>
    <w:rsid w:val="00735D9E"/>
    <w:rsid w:val="00745A09"/>
    <w:rsid w:val="00751EAF"/>
    <w:rsid w:val="00753831"/>
    <w:rsid w:val="00754CF7"/>
    <w:rsid w:val="00757B0D"/>
    <w:rsid w:val="00761320"/>
    <w:rsid w:val="007651B1"/>
    <w:rsid w:val="007707AB"/>
    <w:rsid w:val="00771A68"/>
    <w:rsid w:val="007744D2"/>
    <w:rsid w:val="00786136"/>
    <w:rsid w:val="00790B07"/>
    <w:rsid w:val="00791951"/>
    <w:rsid w:val="007A0ED1"/>
    <w:rsid w:val="007A28F6"/>
    <w:rsid w:val="007B090A"/>
    <w:rsid w:val="007B2E59"/>
    <w:rsid w:val="007C212A"/>
    <w:rsid w:val="007C47D1"/>
    <w:rsid w:val="007E4A99"/>
    <w:rsid w:val="007E7D21"/>
    <w:rsid w:val="007F482F"/>
    <w:rsid w:val="007F66DB"/>
    <w:rsid w:val="007F7C94"/>
    <w:rsid w:val="0080398D"/>
    <w:rsid w:val="00806385"/>
    <w:rsid w:val="00807CC5"/>
    <w:rsid w:val="00813D4A"/>
    <w:rsid w:val="00814CC6"/>
    <w:rsid w:val="00820A99"/>
    <w:rsid w:val="00831751"/>
    <w:rsid w:val="00833369"/>
    <w:rsid w:val="00835B42"/>
    <w:rsid w:val="00841443"/>
    <w:rsid w:val="00842A4E"/>
    <w:rsid w:val="008451AA"/>
    <w:rsid w:val="00847D99"/>
    <w:rsid w:val="0085038E"/>
    <w:rsid w:val="0086271D"/>
    <w:rsid w:val="0086420B"/>
    <w:rsid w:val="00864DBF"/>
    <w:rsid w:val="00865461"/>
    <w:rsid w:val="00865AE2"/>
    <w:rsid w:val="00867DDB"/>
    <w:rsid w:val="00874C31"/>
    <w:rsid w:val="0088057A"/>
    <w:rsid w:val="0088131F"/>
    <w:rsid w:val="0089601F"/>
    <w:rsid w:val="008A1120"/>
    <w:rsid w:val="008A7313"/>
    <w:rsid w:val="008A7D91"/>
    <w:rsid w:val="008B40ED"/>
    <w:rsid w:val="008B7703"/>
    <w:rsid w:val="008B7FC7"/>
    <w:rsid w:val="008C4337"/>
    <w:rsid w:val="008C4F06"/>
    <w:rsid w:val="008C502D"/>
    <w:rsid w:val="008D391B"/>
    <w:rsid w:val="008E1E4A"/>
    <w:rsid w:val="008F0615"/>
    <w:rsid w:val="008F103E"/>
    <w:rsid w:val="008F1FDB"/>
    <w:rsid w:val="008F36FB"/>
    <w:rsid w:val="0090427F"/>
    <w:rsid w:val="009044B0"/>
    <w:rsid w:val="009065B1"/>
    <w:rsid w:val="0091622A"/>
    <w:rsid w:val="00920506"/>
    <w:rsid w:val="00923B3D"/>
    <w:rsid w:val="00923D2D"/>
    <w:rsid w:val="00931DEB"/>
    <w:rsid w:val="00933957"/>
    <w:rsid w:val="00934AA8"/>
    <w:rsid w:val="00937F68"/>
    <w:rsid w:val="00950605"/>
    <w:rsid w:val="00952233"/>
    <w:rsid w:val="00954D66"/>
    <w:rsid w:val="00961D64"/>
    <w:rsid w:val="00963252"/>
    <w:rsid w:val="00963F8F"/>
    <w:rsid w:val="00973C62"/>
    <w:rsid w:val="009750EC"/>
    <w:rsid w:val="00975D76"/>
    <w:rsid w:val="00982E51"/>
    <w:rsid w:val="009841F4"/>
    <w:rsid w:val="009874B9"/>
    <w:rsid w:val="00993581"/>
    <w:rsid w:val="009974FA"/>
    <w:rsid w:val="009A2884"/>
    <w:rsid w:val="009A288C"/>
    <w:rsid w:val="009A51BE"/>
    <w:rsid w:val="009A5F52"/>
    <w:rsid w:val="009A64C1"/>
    <w:rsid w:val="009B43C8"/>
    <w:rsid w:val="009B6697"/>
    <w:rsid w:val="009B7EB1"/>
    <w:rsid w:val="009C2EA4"/>
    <w:rsid w:val="009C4C04"/>
    <w:rsid w:val="009C7251"/>
    <w:rsid w:val="009D194F"/>
    <w:rsid w:val="009D7933"/>
    <w:rsid w:val="009E0B01"/>
    <w:rsid w:val="009E2BBD"/>
    <w:rsid w:val="009F5669"/>
    <w:rsid w:val="009F7566"/>
    <w:rsid w:val="00A06BFE"/>
    <w:rsid w:val="00A10F5D"/>
    <w:rsid w:val="00A1243C"/>
    <w:rsid w:val="00A135AE"/>
    <w:rsid w:val="00A14AF1"/>
    <w:rsid w:val="00A16413"/>
    <w:rsid w:val="00A16891"/>
    <w:rsid w:val="00A268CE"/>
    <w:rsid w:val="00A26B8F"/>
    <w:rsid w:val="00A332E8"/>
    <w:rsid w:val="00A35AF5"/>
    <w:rsid w:val="00A35DDF"/>
    <w:rsid w:val="00A36CBA"/>
    <w:rsid w:val="00A41E35"/>
    <w:rsid w:val="00A44CAB"/>
    <w:rsid w:val="00A45741"/>
    <w:rsid w:val="00A50291"/>
    <w:rsid w:val="00A530E4"/>
    <w:rsid w:val="00A535BF"/>
    <w:rsid w:val="00A566F8"/>
    <w:rsid w:val="00A604CD"/>
    <w:rsid w:val="00A60FE6"/>
    <w:rsid w:val="00A622F5"/>
    <w:rsid w:val="00A654BE"/>
    <w:rsid w:val="00A66DD6"/>
    <w:rsid w:val="00A66E1E"/>
    <w:rsid w:val="00A717CF"/>
    <w:rsid w:val="00A73666"/>
    <w:rsid w:val="00A74392"/>
    <w:rsid w:val="00A771FD"/>
    <w:rsid w:val="00A874EF"/>
    <w:rsid w:val="00A95415"/>
    <w:rsid w:val="00A960FA"/>
    <w:rsid w:val="00AA25AC"/>
    <w:rsid w:val="00AA3C89"/>
    <w:rsid w:val="00AA3C8A"/>
    <w:rsid w:val="00AB01D1"/>
    <w:rsid w:val="00AB32BD"/>
    <w:rsid w:val="00AB3CA9"/>
    <w:rsid w:val="00AB4723"/>
    <w:rsid w:val="00AB489A"/>
    <w:rsid w:val="00AC1727"/>
    <w:rsid w:val="00AC22D8"/>
    <w:rsid w:val="00AC4231"/>
    <w:rsid w:val="00AC4CDB"/>
    <w:rsid w:val="00AC70FE"/>
    <w:rsid w:val="00AD0FAE"/>
    <w:rsid w:val="00AD2693"/>
    <w:rsid w:val="00AD33A8"/>
    <w:rsid w:val="00AD4358"/>
    <w:rsid w:val="00AE4C11"/>
    <w:rsid w:val="00AE58A6"/>
    <w:rsid w:val="00AF3887"/>
    <w:rsid w:val="00AF61E1"/>
    <w:rsid w:val="00AF638A"/>
    <w:rsid w:val="00B00141"/>
    <w:rsid w:val="00B009AA"/>
    <w:rsid w:val="00B01B02"/>
    <w:rsid w:val="00B030C8"/>
    <w:rsid w:val="00B056E7"/>
    <w:rsid w:val="00B05B71"/>
    <w:rsid w:val="00B07956"/>
    <w:rsid w:val="00B10035"/>
    <w:rsid w:val="00B11C5F"/>
    <w:rsid w:val="00B15C76"/>
    <w:rsid w:val="00B165E6"/>
    <w:rsid w:val="00B235DB"/>
    <w:rsid w:val="00B27FBB"/>
    <w:rsid w:val="00B31C07"/>
    <w:rsid w:val="00B33248"/>
    <w:rsid w:val="00B378D6"/>
    <w:rsid w:val="00B41E52"/>
    <w:rsid w:val="00B4340B"/>
    <w:rsid w:val="00B447C0"/>
    <w:rsid w:val="00B50F9D"/>
    <w:rsid w:val="00B52275"/>
    <w:rsid w:val="00B5229B"/>
    <w:rsid w:val="00B548A2"/>
    <w:rsid w:val="00B56934"/>
    <w:rsid w:val="00B60C23"/>
    <w:rsid w:val="00B62F03"/>
    <w:rsid w:val="00B70F5E"/>
    <w:rsid w:val="00B72444"/>
    <w:rsid w:val="00B75A8A"/>
    <w:rsid w:val="00B93B62"/>
    <w:rsid w:val="00B953D1"/>
    <w:rsid w:val="00B954D1"/>
    <w:rsid w:val="00BA30D0"/>
    <w:rsid w:val="00BA61E1"/>
    <w:rsid w:val="00BB0D32"/>
    <w:rsid w:val="00BB302C"/>
    <w:rsid w:val="00BC2677"/>
    <w:rsid w:val="00BC76B5"/>
    <w:rsid w:val="00BD3307"/>
    <w:rsid w:val="00BD5420"/>
    <w:rsid w:val="00BE6D0E"/>
    <w:rsid w:val="00BF0D72"/>
    <w:rsid w:val="00C04BD2"/>
    <w:rsid w:val="00C108B8"/>
    <w:rsid w:val="00C10DC0"/>
    <w:rsid w:val="00C13284"/>
    <w:rsid w:val="00C13EEC"/>
    <w:rsid w:val="00C14689"/>
    <w:rsid w:val="00C156A4"/>
    <w:rsid w:val="00C20FAA"/>
    <w:rsid w:val="00C2459D"/>
    <w:rsid w:val="00C25925"/>
    <w:rsid w:val="00C27205"/>
    <w:rsid w:val="00C2747C"/>
    <w:rsid w:val="00C316F1"/>
    <w:rsid w:val="00C33445"/>
    <w:rsid w:val="00C3717E"/>
    <w:rsid w:val="00C42C95"/>
    <w:rsid w:val="00C4470F"/>
    <w:rsid w:val="00C4670C"/>
    <w:rsid w:val="00C55E5B"/>
    <w:rsid w:val="00C57D64"/>
    <w:rsid w:val="00C62739"/>
    <w:rsid w:val="00C63180"/>
    <w:rsid w:val="00C63772"/>
    <w:rsid w:val="00C6694C"/>
    <w:rsid w:val="00C720A4"/>
    <w:rsid w:val="00C73573"/>
    <w:rsid w:val="00C7611C"/>
    <w:rsid w:val="00C85FA6"/>
    <w:rsid w:val="00C94097"/>
    <w:rsid w:val="00C963DB"/>
    <w:rsid w:val="00CA4269"/>
    <w:rsid w:val="00CA7330"/>
    <w:rsid w:val="00CB1C84"/>
    <w:rsid w:val="00CB64F0"/>
    <w:rsid w:val="00CB789F"/>
    <w:rsid w:val="00CC2909"/>
    <w:rsid w:val="00CD0549"/>
    <w:rsid w:val="00CD0846"/>
    <w:rsid w:val="00CE385A"/>
    <w:rsid w:val="00CE6A8E"/>
    <w:rsid w:val="00CE7172"/>
    <w:rsid w:val="00CF40BF"/>
    <w:rsid w:val="00CF6496"/>
    <w:rsid w:val="00D04337"/>
    <w:rsid w:val="00D05E6F"/>
    <w:rsid w:val="00D24F2A"/>
    <w:rsid w:val="00D27929"/>
    <w:rsid w:val="00D33442"/>
    <w:rsid w:val="00D44BAD"/>
    <w:rsid w:val="00D45B55"/>
    <w:rsid w:val="00D614AB"/>
    <w:rsid w:val="00D6448C"/>
    <w:rsid w:val="00D65F55"/>
    <w:rsid w:val="00D7097B"/>
    <w:rsid w:val="00D726FE"/>
    <w:rsid w:val="00D8796D"/>
    <w:rsid w:val="00D91DFA"/>
    <w:rsid w:val="00DA159A"/>
    <w:rsid w:val="00DA1BCC"/>
    <w:rsid w:val="00DA6820"/>
    <w:rsid w:val="00DB0945"/>
    <w:rsid w:val="00DB1AB2"/>
    <w:rsid w:val="00DB5EB8"/>
    <w:rsid w:val="00DC4FDF"/>
    <w:rsid w:val="00DC66F0"/>
    <w:rsid w:val="00DD1C8A"/>
    <w:rsid w:val="00DD2371"/>
    <w:rsid w:val="00DD3A65"/>
    <w:rsid w:val="00DD62C6"/>
    <w:rsid w:val="00DD6A5B"/>
    <w:rsid w:val="00DE15C8"/>
    <w:rsid w:val="00DE3B8B"/>
    <w:rsid w:val="00DE7137"/>
    <w:rsid w:val="00E00498"/>
    <w:rsid w:val="00E0481B"/>
    <w:rsid w:val="00E052EA"/>
    <w:rsid w:val="00E14ADB"/>
    <w:rsid w:val="00E15E63"/>
    <w:rsid w:val="00E17F19"/>
    <w:rsid w:val="00E259FB"/>
    <w:rsid w:val="00E2617A"/>
    <w:rsid w:val="00E30F2F"/>
    <w:rsid w:val="00E31CD4"/>
    <w:rsid w:val="00E33FAF"/>
    <w:rsid w:val="00E37099"/>
    <w:rsid w:val="00E4462A"/>
    <w:rsid w:val="00E44990"/>
    <w:rsid w:val="00E538E6"/>
    <w:rsid w:val="00E53AE9"/>
    <w:rsid w:val="00E571E5"/>
    <w:rsid w:val="00E61FE3"/>
    <w:rsid w:val="00E62544"/>
    <w:rsid w:val="00E65655"/>
    <w:rsid w:val="00E66109"/>
    <w:rsid w:val="00E802A2"/>
    <w:rsid w:val="00E85C0B"/>
    <w:rsid w:val="00E920C5"/>
    <w:rsid w:val="00EA4479"/>
    <w:rsid w:val="00EA6DDA"/>
    <w:rsid w:val="00EA6F96"/>
    <w:rsid w:val="00EA7FBD"/>
    <w:rsid w:val="00EB05D9"/>
    <w:rsid w:val="00EB13D7"/>
    <w:rsid w:val="00EB1E83"/>
    <w:rsid w:val="00EC28E0"/>
    <w:rsid w:val="00EC76AF"/>
    <w:rsid w:val="00EC7CF5"/>
    <w:rsid w:val="00ED12E9"/>
    <w:rsid w:val="00ED22CB"/>
    <w:rsid w:val="00ED67AF"/>
    <w:rsid w:val="00ED6FE4"/>
    <w:rsid w:val="00EE128C"/>
    <w:rsid w:val="00EE1A8B"/>
    <w:rsid w:val="00EE4C48"/>
    <w:rsid w:val="00EF5393"/>
    <w:rsid w:val="00EF66D9"/>
    <w:rsid w:val="00EF68E3"/>
    <w:rsid w:val="00EF6BA5"/>
    <w:rsid w:val="00EF780D"/>
    <w:rsid w:val="00EF7A98"/>
    <w:rsid w:val="00F01434"/>
    <w:rsid w:val="00F02016"/>
    <w:rsid w:val="00F0267E"/>
    <w:rsid w:val="00F07672"/>
    <w:rsid w:val="00F11B47"/>
    <w:rsid w:val="00F15B07"/>
    <w:rsid w:val="00F25D8D"/>
    <w:rsid w:val="00F44CCB"/>
    <w:rsid w:val="00F474C9"/>
    <w:rsid w:val="00F47773"/>
    <w:rsid w:val="00F5126B"/>
    <w:rsid w:val="00F54EA3"/>
    <w:rsid w:val="00F553E2"/>
    <w:rsid w:val="00F5693C"/>
    <w:rsid w:val="00F61675"/>
    <w:rsid w:val="00F6686B"/>
    <w:rsid w:val="00F67F74"/>
    <w:rsid w:val="00F712B3"/>
    <w:rsid w:val="00F73DE3"/>
    <w:rsid w:val="00F744BF"/>
    <w:rsid w:val="00F77219"/>
    <w:rsid w:val="00F84DD2"/>
    <w:rsid w:val="00F87B30"/>
    <w:rsid w:val="00F906DE"/>
    <w:rsid w:val="00FB0872"/>
    <w:rsid w:val="00FB1DA9"/>
    <w:rsid w:val="00FB54CC"/>
    <w:rsid w:val="00FC7E10"/>
    <w:rsid w:val="00FD04AA"/>
    <w:rsid w:val="00FD1A37"/>
    <w:rsid w:val="00FD45EE"/>
    <w:rsid w:val="00FD4E5B"/>
    <w:rsid w:val="00FD5FBE"/>
    <w:rsid w:val="00FD6965"/>
    <w:rsid w:val="00FE1015"/>
    <w:rsid w:val="00FE4EE0"/>
    <w:rsid w:val="00FE68F0"/>
    <w:rsid w:val="00FF23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C28507"/>
  <w15:docId w15:val="{F41D124C-4559-4869-A704-2376D9E5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table" w:customStyle="1" w:styleId="3">
    <w:name w:val="3"/>
    <w:basedOn w:val="TableNormal"/>
    <w:rsid w:val="00C108B8"/>
    <w:rPr>
      <w:rFonts w:ascii="Arial" w:eastAsia="Arial" w:hAnsi="Arial" w:cs="Arial"/>
      <w:sz w:val="22"/>
      <w:szCs w:val="22"/>
      <w:lang w:val="en" w:eastAsia="en-US"/>
    </w:rPr>
    <w:tblPr>
      <w:tblStyleRowBandSize w:val="1"/>
      <w:tblStyleColBandSize w:val="1"/>
    </w:tblPr>
  </w:style>
  <w:style w:type="paragraph" w:styleId="ListParagraph">
    <w:name w:val="List Paragraph"/>
    <w:basedOn w:val="Normal"/>
    <w:uiPriority w:val="34"/>
    <w:qFormat/>
    <w:rsid w:val="00C108B8"/>
    <w:pPr>
      <w:suppressAutoHyphens/>
      <w:autoSpaceDN w:val="0"/>
      <w:ind w:left="720"/>
      <w:contextualSpacing/>
      <w:textAlignment w:val="baseline"/>
    </w:pPr>
  </w:style>
  <w:style w:type="paragraph" w:customStyle="1" w:styleId="Marge">
    <w:name w:val="Marge"/>
    <w:basedOn w:val="Normal"/>
    <w:link w:val="MargeChar"/>
    <w:rsid w:val="00095152"/>
    <w:pPr>
      <w:tabs>
        <w:tab w:val="clear" w:pos="1134"/>
        <w:tab w:val="left" w:pos="567"/>
      </w:tabs>
      <w:snapToGrid w:val="0"/>
      <w:spacing w:after="240"/>
    </w:pPr>
    <w:rPr>
      <w:rFonts w:ascii="Arial" w:eastAsia="Times New Roman" w:hAnsi="Arial" w:cs="Times New Roman"/>
      <w:snapToGrid w:val="0"/>
      <w:sz w:val="22"/>
      <w:szCs w:val="24"/>
    </w:rPr>
  </w:style>
  <w:style w:type="paragraph" w:customStyle="1" w:styleId="Docheading">
    <w:name w:val="Doc. heading"/>
    <w:basedOn w:val="Header"/>
    <w:rsid w:val="00095152"/>
    <w:pPr>
      <w:tabs>
        <w:tab w:val="left" w:pos="567"/>
        <w:tab w:val="center" w:pos="4153"/>
        <w:tab w:val="right" w:pos="8306"/>
      </w:tabs>
      <w:snapToGrid w:val="0"/>
      <w:spacing w:after="480"/>
    </w:pPr>
    <w:rPr>
      <w:rFonts w:ascii="Arial" w:eastAsia="Times New Roman" w:hAnsi="Arial"/>
      <w:b/>
      <w:bCs/>
      <w:caps/>
      <w:snapToGrid w:val="0"/>
      <w:sz w:val="24"/>
      <w:szCs w:val="24"/>
    </w:rPr>
  </w:style>
  <w:style w:type="character" w:customStyle="1" w:styleId="MargeChar">
    <w:name w:val="Marge Char"/>
    <w:basedOn w:val="DefaultParagraphFont"/>
    <w:link w:val="Marge"/>
    <w:rsid w:val="00095152"/>
    <w:rPr>
      <w:rFonts w:ascii="Arial" w:eastAsia="Times New Roman"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03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72665.locale=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eme\Documents\TRANSLATION\PROYECTOS\WMO\2021\Mayo\Ref%20orden%20del%20dia%20EC-73\EC-73-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154685D2BFB4C9C5180C1384E2345" ma:contentTypeVersion="" ma:contentTypeDescription="Create a new document." ma:contentTypeScope="" ma:versionID="7e5cae5f2f8d94ffd882f7ba26ce56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F946-34B1-489B-A29C-3A61038E7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CBC84C-AF5D-4E3A-BF18-9C453D0FD010}">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purl.org/dc/terms/"/>
    <ds:schemaRef ds:uri="http://schemas.microsoft.com/office/2006/metadata/properties"/>
    <ds:schemaRef ds:uri="http://schemas.microsoft.com/office/infopath/2007/PartnerControls"/>
    <ds:schemaRef ds:uri="ce21bc6c-711a-4065-a01c-a8f0e29e3ad8"/>
    <ds:schemaRef ds:uri="http://purl.org/dc/elements/1.1/"/>
    <ds:schemaRef ds:uri="http://schemas.microsoft.com/office/2006/documentManagement/types"/>
    <ds:schemaRef ds:uri="http://schemas.openxmlformats.org/package/2006/metadata/core-properties"/>
    <ds:schemaRef ds:uri="3679bf0f-1d7e-438f-afa5-6ebf1e20f9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EC-73-dxx-Template_es.dotx</Template>
  <TotalTime>8</TotalTime>
  <Pages>10</Pages>
  <Words>3930</Words>
  <Characters>22407</Characters>
  <Application>Microsoft Office Word</Application>
  <DocSecurity>0</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26285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Fernanda Nieto Femenia</dc:creator>
  <cp:lastModifiedBy>Pastor Reyes, Ingrid</cp:lastModifiedBy>
  <cp:revision>3</cp:revision>
  <cp:lastPrinted>2013-03-12T09:27:00Z</cp:lastPrinted>
  <dcterms:created xsi:type="dcterms:W3CDTF">2021-06-08T09:07:00Z</dcterms:created>
  <dcterms:modified xsi:type="dcterms:W3CDTF">2021-06-08T09:15:00Z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0x0101003B5154685D2BFB4C9C5180C1384E2345</vt:lpwstr>
  </property>
</Properties>
</file>