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B83068" w:rsidRPr="006842FA" w14:paraId="11228E69" w14:textId="77777777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278E2B0" w14:textId="77777777" w:rsidR="00467E3F" w:rsidRDefault="00B83068" w:rsidP="00853565">
            <w:pPr>
              <w:pStyle w:val="Marge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Резюме</w:t>
            </w:r>
          </w:p>
          <w:p w14:paraId="0E23E4B9" w14:textId="603FCFFF" w:rsidR="008A60C9" w:rsidRDefault="008A60C9" w:rsidP="00294AD5">
            <w:pPr>
              <w:pStyle w:val="Marge"/>
              <w:spacing w:after="120"/>
              <w:rPr>
                <w:rFonts w:cs="Arial"/>
                <w:i/>
                <w:szCs w:val="22"/>
              </w:rPr>
            </w:pPr>
            <w:r>
              <w:rPr>
                <w:lang w:val="ru"/>
              </w:rPr>
              <w:t xml:space="preserve">Комитет МОК по международному обмену океанографическими данными и информацией (МООД-XXV) на своей 25-й сессии (18–22 февраля 2019 года, Токио) постановил провести обзор деятельности Бюро по проектам Международного обмена океанографическими данными и информацией (МООД), напомнив, что срок действия МОВ, подписанного в 2017 году, истекает 1 декабря 2021 года. </w:t>
            </w:r>
          </w:p>
          <w:p w14:paraId="335FAADA" w14:textId="26451CFD" w:rsidR="008A60C9" w:rsidRPr="001B33EB" w:rsidRDefault="00467E3F" w:rsidP="001B33EB">
            <w:pPr>
              <w:pStyle w:val="Marge"/>
              <w:spacing w:after="120"/>
            </w:pPr>
            <w:r>
              <w:rPr>
                <w:szCs w:val="22"/>
                <w:u w:val="single"/>
                <w:lang w:val="ru"/>
              </w:rPr>
              <w:t>Цель документа</w:t>
            </w:r>
            <w:r>
              <w:rPr>
                <w:szCs w:val="22"/>
                <w:lang w:val="ru"/>
              </w:rPr>
              <w:t xml:space="preserve">: </w:t>
            </w:r>
            <w:r>
              <w:rPr>
                <w:lang w:val="ru"/>
              </w:rPr>
              <w:t xml:space="preserve">В настоящем документе подробно изложена методология, использованная авторами обзора, а также результаты и сформулированные рекомендации, в частности, рекомендация о возобновлении МОВ между Морским институтом Фландрии (ВЛИЗ) и МОК. </w:t>
            </w:r>
          </w:p>
          <w:p w14:paraId="7993A226" w14:textId="0633119A" w:rsidR="00467E3F" w:rsidRPr="00467E3F" w:rsidRDefault="00467E3F" w:rsidP="00467E3F">
            <w:pPr>
              <w:pStyle w:val="Marge"/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Финансовые и административные последствия</w:t>
            </w:r>
            <w:r>
              <w:rPr>
                <w:rFonts w:cs="Arial"/>
                <w:szCs w:val="22"/>
                <w:lang w:val="ru"/>
              </w:rPr>
              <w:t xml:space="preserve">: Финансовые и административные последствия отсутствуют. </w:t>
            </w:r>
          </w:p>
          <w:p w14:paraId="7FC3AF21" w14:textId="23594E5E" w:rsidR="00737A18" w:rsidRPr="00467E3F" w:rsidRDefault="00413F17" w:rsidP="001B33EB">
            <w:pPr>
              <w:pStyle w:val="Marge"/>
              <w:spacing w:after="120"/>
              <w:rPr>
                <w:rFonts w:cs="Arial"/>
                <w:szCs w:val="22"/>
              </w:rPr>
            </w:pPr>
            <w:r>
              <w:rPr>
                <w:szCs w:val="22"/>
                <w:u w:val="single"/>
                <w:lang w:val="ru"/>
              </w:rPr>
              <w:t>Предлагаемое(-ые) решение(-я)</w:t>
            </w:r>
            <w:r>
              <w:rPr>
                <w:szCs w:val="22"/>
                <w:lang w:val="ru"/>
              </w:rPr>
              <w:t xml:space="preserve"> представлено(-ы) в документе о принятых и предлагаемых мерах</w:t>
            </w:r>
            <w:r>
              <w:rPr>
                <w:lang w:val="ru"/>
              </w:rPr>
              <w:t xml:space="preserve"> </w:t>
            </w:r>
            <w:r>
              <w:rPr>
                <w:szCs w:val="22"/>
                <w:lang w:val="ru"/>
              </w:rPr>
              <w:t xml:space="preserve"> (документ </w:t>
            </w:r>
            <w:hyperlink r:id="rId8" w:history="1">
              <w:r>
                <w:rPr>
                  <w:rStyle w:val="Hyperlink"/>
                  <w:lang w:val="ru"/>
                </w:rPr>
                <w:t>IOC-31/AP</w:t>
              </w:r>
            </w:hyperlink>
            <w:r>
              <w:rPr>
                <w:szCs w:val="22"/>
                <w:lang w:val="ru"/>
              </w:rPr>
              <w:t xml:space="preserve"> Rev.) под номером Реш. A-31/3.4.2</w:t>
            </w:r>
            <w:r>
              <w:rPr>
                <w:lang w:val="ru"/>
              </w:rPr>
              <w:t>.</w:t>
            </w:r>
          </w:p>
        </w:tc>
      </w:tr>
    </w:tbl>
    <w:p w14:paraId="75BE0AB6" w14:textId="77777777" w:rsidR="00746B89" w:rsidRPr="006842FA" w:rsidRDefault="00746B89" w:rsidP="005C7A36">
      <w:pPr>
        <w:pStyle w:val="Heading3"/>
        <w:sectPr w:rsidR="00746B89" w:rsidRPr="006842FA" w:rsidSect="003F7186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418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14:paraId="4ED15CBC" w14:textId="447C546B" w:rsidR="00F66CC5" w:rsidRPr="00B80498" w:rsidRDefault="00AD06D8" w:rsidP="00B80498">
      <w:pPr>
        <w:pStyle w:val="Heading7"/>
        <w:spacing w:after="240" w:line="240" w:lineRule="auto"/>
        <w:rPr>
          <w:b/>
          <w:bCs/>
          <w:u w:val="none"/>
        </w:rPr>
      </w:pPr>
      <w:r>
        <w:rPr>
          <w:b/>
          <w:bCs/>
          <w:u w:val="none"/>
          <w:lang w:val="ru"/>
        </w:rPr>
        <w:lastRenderedPageBreak/>
        <w:t>Введение</w:t>
      </w:r>
    </w:p>
    <w:p w14:paraId="51E3B8AE" w14:textId="6DE20819" w:rsidR="00EE10D0" w:rsidRDefault="00163C49" w:rsidP="00B80498">
      <w:pPr>
        <w:pStyle w:val="COI"/>
        <w:rPr>
          <w:i/>
        </w:rPr>
      </w:pPr>
      <w:r>
        <w:rPr>
          <w:lang w:val="ru"/>
        </w:rPr>
        <w:t>В феврале 2019 года Комитет МОК по международному обмену океанографическими данными и информацией обратился с просьбой провести обзор деятельность расположенного в Остенде (Бельгия) Бюро по проектам МООД в преддверии истечения срока действия Меморандума о взаимопонимании, подписанного между Морским институтом Фландрии (Бельгия) и ЮНЕСКО/МОК. Такой обзор деятельности Бюро по проектам предусмотрен в Статье IV МОВ до истечения срока его действия 1 декабря 2021 года:</w:t>
      </w:r>
      <w:r>
        <w:rPr>
          <w:i/>
          <w:iCs/>
          <w:lang w:val="ru"/>
        </w:rPr>
        <w:t xml:space="preserve"> </w:t>
      </w:r>
    </w:p>
    <w:p w14:paraId="5DC06D43" w14:textId="74EA199E" w:rsidR="00F66CC5" w:rsidRDefault="00EE10D0" w:rsidP="00B80498">
      <w:pPr>
        <w:spacing w:after="240"/>
        <w:ind w:left="720"/>
        <w:rPr>
          <w:b/>
        </w:rPr>
      </w:pPr>
      <w:r>
        <w:rPr>
          <w:i/>
          <w:iCs/>
          <w:lang w:val="ru"/>
        </w:rPr>
        <w:t xml:space="preserve">Обзор деятельности Бюро ЮНЕСКО/МОК по проектам МООД должен быть проведен однократно и до истечения срока действия настоящего Меморандума о взаимопонимании. Оценка представляется на утверждение Комитету по МООД, который осуществляет надзор за деятельностью Бюро по проектам. Комитет по МООД может, если </w:t>
      </w:r>
      <w:proofErr w:type="gramStart"/>
      <w:r>
        <w:rPr>
          <w:i/>
          <w:iCs/>
          <w:lang w:val="ru"/>
        </w:rPr>
        <w:t>сочтет</w:t>
      </w:r>
      <w:proofErr w:type="gramEnd"/>
      <w:r>
        <w:rPr>
          <w:i/>
          <w:iCs/>
          <w:lang w:val="ru"/>
        </w:rPr>
        <w:t xml:space="preserve"> необходимым, рекомендовать возобновить или продлить это соглашение и представит эту рекомендацию следующей сессии Ассамблеи или Исполнительного совета МОК.</w:t>
      </w:r>
      <w:r>
        <w:rPr>
          <w:b/>
          <w:bCs/>
          <w:lang w:val="ru"/>
        </w:rPr>
        <w:t xml:space="preserve"> </w:t>
      </w:r>
    </w:p>
    <w:p w14:paraId="158B1451" w14:textId="29E02408" w:rsidR="00F66CC5" w:rsidRPr="00F66CC5" w:rsidRDefault="00095FC6" w:rsidP="00B80498">
      <w:pPr>
        <w:pStyle w:val="COI"/>
        <w:rPr>
          <w:rFonts w:cs="Arial"/>
        </w:rPr>
      </w:pPr>
      <w:r>
        <w:rPr>
          <w:lang w:val="ru"/>
        </w:rPr>
        <w:t>МОВ, в соответствии с которым было создано Бюро по проектам МООД в Остенде, был впервые подписан в 2005 году и дважды продлевался в 2012 и 2017 годах.</w:t>
      </w:r>
    </w:p>
    <w:p w14:paraId="7DDE3E7B" w14:textId="28B80024" w:rsidR="00F66CC5" w:rsidRPr="00F66CC5" w:rsidRDefault="00F66CC5" w:rsidP="00B80498">
      <w:pPr>
        <w:pStyle w:val="COI"/>
        <w:rPr>
          <w:rFonts w:cs="Arial"/>
        </w:rPr>
      </w:pPr>
      <w:r>
        <w:rPr>
          <w:rFonts w:cs="Arial"/>
          <w:lang w:val="ru"/>
        </w:rPr>
        <w:t>В настоящее время круг ведения Бюро ЮНЕСКО/МОК по проектам МООД включает следующую деятельность:</w:t>
      </w:r>
    </w:p>
    <w:p w14:paraId="520FF6AF" w14:textId="77777777" w:rsidR="00F66CC5" w:rsidRPr="00CF7C4F" w:rsidRDefault="00F66CC5" w:rsidP="00B80498">
      <w:pPr>
        <w:numPr>
          <w:ilvl w:val="0"/>
          <w:numId w:val="29"/>
        </w:numPr>
        <w:tabs>
          <w:tab w:val="clear" w:pos="567"/>
        </w:tabs>
        <w:spacing w:after="240"/>
        <w:ind w:left="1418" w:hanging="709"/>
        <w:jc w:val="both"/>
        <w:rPr>
          <w:rFonts w:cs="Arial"/>
        </w:rPr>
      </w:pPr>
      <w:r>
        <w:rPr>
          <w:rFonts w:cs="Arial"/>
          <w:lang w:val="ru"/>
        </w:rPr>
        <w:t>создание творческой среды, способствующей дальнейшему развитию и поддержанию проектов, услуг и продуктов МООД с акцентом на повышение эффективности и результативности движения данных и продуктов/услуг между этапом отбора проб и пользователем;</w:t>
      </w:r>
    </w:p>
    <w:p w14:paraId="4977771C" w14:textId="77777777" w:rsidR="00F66CC5" w:rsidRPr="00CF7C4F" w:rsidRDefault="00F66CC5" w:rsidP="00B80498">
      <w:pPr>
        <w:numPr>
          <w:ilvl w:val="0"/>
          <w:numId w:val="29"/>
        </w:numPr>
        <w:tabs>
          <w:tab w:val="clear" w:pos="567"/>
        </w:tabs>
        <w:spacing w:after="240"/>
        <w:ind w:left="1418" w:hanging="709"/>
        <w:jc w:val="both"/>
        <w:rPr>
          <w:rFonts w:cs="Arial"/>
        </w:rPr>
      </w:pPr>
      <w:r>
        <w:rPr>
          <w:rFonts w:cs="Arial"/>
          <w:lang w:val="ru"/>
        </w:rPr>
        <w:t>оказание помощи в укреплении потенциала государств-членов в области управления океанографическими данными и информацией (путем организации соответствующей подготовки и мероприятий по наращиванию потенциала) и предоставления необходимых пользователям продуктов и услуг в области океанических данных и информации;</w:t>
      </w:r>
    </w:p>
    <w:p w14:paraId="0721375B" w14:textId="77777777" w:rsidR="00F66CC5" w:rsidRPr="00CF7C4F" w:rsidRDefault="00F66CC5" w:rsidP="00B80498">
      <w:pPr>
        <w:numPr>
          <w:ilvl w:val="0"/>
          <w:numId w:val="29"/>
        </w:numPr>
        <w:tabs>
          <w:tab w:val="clear" w:pos="567"/>
        </w:tabs>
        <w:spacing w:after="240"/>
        <w:ind w:left="1418" w:hanging="709"/>
        <w:jc w:val="both"/>
        <w:rPr>
          <w:rFonts w:cs="Arial"/>
        </w:rPr>
      </w:pPr>
      <w:r>
        <w:rPr>
          <w:rFonts w:cs="Arial"/>
          <w:lang w:val="ru"/>
        </w:rPr>
        <w:t>обеспечение связи и взаимодействие с соответствующими программами ЮНЕСКО/МОК и другими проектами, связанными с проектами, осуществляемыми Бюро ЮНЕСКО/МОК по проектам МООД;</w:t>
      </w:r>
    </w:p>
    <w:p w14:paraId="03231216" w14:textId="757704C5" w:rsidR="00F66CC5" w:rsidRPr="00B80498" w:rsidRDefault="00F66CC5" w:rsidP="00B80498">
      <w:pPr>
        <w:numPr>
          <w:ilvl w:val="0"/>
          <w:numId w:val="29"/>
        </w:numPr>
        <w:tabs>
          <w:tab w:val="clear" w:pos="567"/>
        </w:tabs>
        <w:spacing w:after="240"/>
        <w:ind w:left="1418" w:hanging="709"/>
        <w:jc w:val="both"/>
        <w:rPr>
          <w:rFonts w:cs="Arial"/>
        </w:rPr>
      </w:pPr>
      <w:r>
        <w:rPr>
          <w:rFonts w:cs="Arial"/>
          <w:lang w:val="ru"/>
        </w:rPr>
        <w:t>установление и поддержание связей с другими соответствующими организациями, учреждениями и программами в целях развития сотрудничества с Бюро ЮНЕСКО/МОК по проектам МООД.</w:t>
      </w:r>
    </w:p>
    <w:p w14:paraId="436D9E08" w14:textId="2F6CCCBC" w:rsidR="00EE10D0" w:rsidRPr="004E27E7" w:rsidRDefault="00F66CC5" w:rsidP="00B80498">
      <w:pPr>
        <w:pStyle w:val="Heading7"/>
        <w:spacing w:after="240" w:line="240" w:lineRule="auto"/>
        <w:rPr>
          <w:b/>
          <w:bCs/>
          <w:u w:val="none"/>
        </w:rPr>
      </w:pPr>
      <w:r>
        <w:rPr>
          <w:b/>
          <w:bCs/>
          <w:u w:val="none"/>
          <w:lang w:val="ru"/>
        </w:rPr>
        <w:t>Цель обзора</w:t>
      </w:r>
    </w:p>
    <w:p w14:paraId="789BC672" w14:textId="14D91DD2" w:rsidR="00A16A59" w:rsidRPr="00AF5844" w:rsidRDefault="00F66CC5" w:rsidP="00B80498">
      <w:pPr>
        <w:pStyle w:val="COI"/>
        <w:rPr>
          <w:rFonts w:cs="Arial"/>
        </w:rPr>
      </w:pPr>
      <w:r>
        <w:rPr>
          <w:lang w:val="ru"/>
        </w:rPr>
        <w:t xml:space="preserve">Цель обзора — оценить деятельность Бюро по проектам МООД до рассмотрения вопроса о возобновлении МОВ, в соответствии с которым оно было создано в Остенде. Выполнение этой миссии было поручено г-ну Адаму Лидбеттеру (Морской институт, Ирландия) и г-ну Лоику Пети де ла Вийеону (ИФРЕМЕР, Франция). </w:t>
      </w:r>
    </w:p>
    <w:p w14:paraId="54A882AC" w14:textId="6859CF70" w:rsidR="00AD06D8" w:rsidRPr="004E27E7" w:rsidRDefault="00AD06D8" w:rsidP="00B80498">
      <w:pPr>
        <w:pStyle w:val="COI"/>
        <w:numPr>
          <w:ilvl w:val="0"/>
          <w:numId w:val="0"/>
        </w:numPr>
        <w:rPr>
          <w:b/>
          <w:bCs/>
        </w:rPr>
      </w:pPr>
      <w:r>
        <w:rPr>
          <w:b/>
          <w:bCs/>
          <w:lang w:val="ru"/>
        </w:rPr>
        <w:t>Рекомендации</w:t>
      </w:r>
    </w:p>
    <w:p w14:paraId="7001F625" w14:textId="77777777" w:rsidR="00AD06D8" w:rsidRDefault="00AD06D8" w:rsidP="00B80498">
      <w:pPr>
        <w:pStyle w:val="COI"/>
      </w:pPr>
      <w:r>
        <w:rPr>
          <w:lang w:val="ru"/>
        </w:rPr>
        <w:t>На основании вышеизложенных результатов авторы обзора определили ряд областей, которые Бюро по проектам МООД следует рассмотреть в будущем. Они подробно описаны ниже:</w:t>
      </w:r>
    </w:p>
    <w:p w14:paraId="1E50606A" w14:textId="7D96C3FC" w:rsidR="00AD06D8" w:rsidRDefault="00AD06D8" w:rsidP="00B80498">
      <w:pPr>
        <w:numPr>
          <w:ilvl w:val="0"/>
          <w:numId w:val="28"/>
        </w:numPr>
        <w:tabs>
          <w:tab w:val="clear" w:pos="567"/>
        </w:tabs>
        <w:spacing w:after="240"/>
        <w:ind w:left="1260" w:hanging="567"/>
        <w:jc w:val="both"/>
        <w:rPr>
          <w:rFonts w:cs="Arial"/>
        </w:rPr>
      </w:pPr>
      <w:r>
        <w:rPr>
          <w:rFonts w:cs="Arial"/>
          <w:lang w:val="ru"/>
        </w:rPr>
        <w:t xml:space="preserve">Что касается проведения обзора эффективности деятельности Бюро МОК по проектам МООД, то для Бюро по проектам не существует ключевых показателей </w:t>
      </w:r>
      <w:r>
        <w:rPr>
          <w:rFonts w:cs="Arial"/>
          <w:lang w:val="ru"/>
        </w:rPr>
        <w:lastRenderedPageBreak/>
        <w:t>эффективности (КПЭ), которые могли бы стать базой для такого обзора. Авторы обзора рекомендовали Бюро по проекту МООД разработать и согласовать совместно с основными заинтересованными сторонами (ЮНЕСКО/МОК и ВЛИЗ) четкий набор КПЭ.</w:t>
      </w:r>
    </w:p>
    <w:p w14:paraId="78B09F11" w14:textId="44ED0909" w:rsidR="00AD06D8" w:rsidRDefault="00AD06D8" w:rsidP="00B80498">
      <w:pPr>
        <w:numPr>
          <w:ilvl w:val="0"/>
          <w:numId w:val="28"/>
        </w:numPr>
        <w:tabs>
          <w:tab w:val="clear" w:pos="567"/>
        </w:tabs>
        <w:spacing w:after="240"/>
        <w:ind w:left="1260" w:hanging="567"/>
        <w:jc w:val="both"/>
        <w:rPr>
          <w:rFonts w:cs="Arial"/>
        </w:rPr>
      </w:pPr>
      <w:r>
        <w:rPr>
          <w:rFonts w:cs="Arial"/>
          <w:lang w:val="ru"/>
        </w:rPr>
        <w:t>Аналогичным образом Бюро МОК по проектам МООД рекомендуется усовершенствовать свою ежегодную отчетность как перед ВЛИЗ, так и перед связанным с МООД сообществом в целом. Эти доклады должны включать краткие сведения о достижениях по всем проектам МООД и подчеркивать влияние деятельности Бюро по проектам и общей программы МООД. Такая отчетность должна обеспечить лучшее оповещение всех заинтересованных сторон о результатах программы МООД и играть роль промежуточных обновлений между сессиями МООД и сессиями руководящих органов ЮНЕСКО/МОК.</w:t>
      </w:r>
    </w:p>
    <w:p w14:paraId="06377DD2" w14:textId="28C713B6" w:rsidR="00AD06D8" w:rsidRDefault="00751680" w:rsidP="00B80498">
      <w:pPr>
        <w:numPr>
          <w:ilvl w:val="0"/>
          <w:numId w:val="28"/>
        </w:numPr>
        <w:tabs>
          <w:tab w:val="clear" w:pos="567"/>
        </w:tabs>
        <w:spacing w:after="240"/>
        <w:ind w:left="1260" w:hanging="567"/>
        <w:jc w:val="both"/>
        <w:rPr>
          <w:rFonts w:cs="Arial"/>
        </w:rPr>
      </w:pPr>
      <w:r>
        <w:rPr>
          <w:rFonts w:cs="Arial"/>
          <w:lang w:val="ru"/>
        </w:rPr>
        <w:t>Авторы обзора рекомендовали изучить и принять методы более эффективной оценки и отчетности о влиянии обучения, проводимого при содействии Глобальной академии «Океан-Инструктор».</w:t>
      </w:r>
    </w:p>
    <w:p w14:paraId="259A078E" w14:textId="15B9CD71" w:rsidR="00AD06D8" w:rsidRDefault="00AD06D8" w:rsidP="00B80498">
      <w:pPr>
        <w:numPr>
          <w:ilvl w:val="0"/>
          <w:numId w:val="28"/>
        </w:numPr>
        <w:tabs>
          <w:tab w:val="clear" w:pos="567"/>
        </w:tabs>
        <w:spacing w:after="240"/>
        <w:ind w:left="1260" w:hanging="567"/>
        <w:jc w:val="both"/>
        <w:rPr>
          <w:rFonts w:cs="Arial"/>
        </w:rPr>
      </w:pPr>
      <w:r>
        <w:rPr>
          <w:rFonts w:cs="Arial"/>
          <w:lang w:val="ru"/>
        </w:rPr>
        <w:t>Сильный бренд Бюро по проектам МООД должен быть более заметно представлен на различных порталах под управлением Бюро по проектам МООД. Каждый из этих порталов должен преследовать четкую и уникальную цель, которая должна быть подробно описана. Укреплению бренда МООД также может содействовать более подробное описание отношений МООД с Глобальной системой наблюдений за океаном (ГСНО) и Всемирной метеорологической организацией (ВМО) (в том числе) на веб-сайте МООД и, возможно, полное обновление веб-сайта. Это также должно помочь определить, какие проекты наилучшим образом относятся к сфере деятельности МООД, а какие — к сфере деятельности, например, ГСНО или ВМО. Аналогичным образом, Бюро по проектам МООД рекомендуется более активно продвигать свой бренд и свою деятельность, в том числе через проект «Инфохаб-Океан» и деятельность Глобальной академии «Океан-Инструктор», во взаимодействиях в рамках Десятилетия ООН, посвященного науке об океане в интересах устойчивого развития. Авторы обзора отмечают высокий потенциал Бюро по проектам МООД в проведении сквозных мероприятий, таких как проекты по созданию потенциала, обучение, проекты по управлению морской информацией и данными, а также в управлении различными веб-порталами.</w:t>
      </w:r>
    </w:p>
    <w:p w14:paraId="7D13884F" w14:textId="0832608D" w:rsidR="00AD06D8" w:rsidRDefault="00AD06D8" w:rsidP="00B80498">
      <w:pPr>
        <w:numPr>
          <w:ilvl w:val="0"/>
          <w:numId w:val="28"/>
        </w:numPr>
        <w:tabs>
          <w:tab w:val="clear" w:pos="567"/>
        </w:tabs>
        <w:spacing w:after="240"/>
        <w:ind w:left="1260" w:hanging="567"/>
        <w:jc w:val="both"/>
        <w:rPr>
          <w:rFonts w:cs="Arial"/>
        </w:rPr>
      </w:pPr>
      <w:r>
        <w:rPr>
          <w:rFonts w:cs="Arial"/>
          <w:lang w:val="ru"/>
        </w:rPr>
        <w:t>Авторы обзора отметили, что все опрошенные высоко оценили эффективность работы секретариата Бюро по проектам МООД под твердым руководством г-на Питера Писсерссенса. Эксперты указали на необходимость планирования преемственности для замены г-на Писсерссенса после его выхода на пенсию и рекомендовали, по возможности, организовать некоторое совмещение сроков работы г-на Писсерссенса и его преемника.</w:t>
      </w:r>
    </w:p>
    <w:p w14:paraId="3BBC89F9" w14:textId="2811642E" w:rsidR="00AD06D8" w:rsidRDefault="00AD06D8" w:rsidP="00B80498">
      <w:pPr>
        <w:numPr>
          <w:ilvl w:val="0"/>
          <w:numId w:val="28"/>
        </w:numPr>
        <w:tabs>
          <w:tab w:val="clear" w:pos="567"/>
        </w:tabs>
        <w:spacing w:after="240"/>
        <w:ind w:left="1260" w:hanging="567"/>
        <w:jc w:val="both"/>
        <w:rPr>
          <w:rFonts w:cs="Arial"/>
        </w:rPr>
      </w:pPr>
      <w:r>
        <w:rPr>
          <w:rFonts w:cs="Arial"/>
          <w:lang w:val="ru"/>
        </w:rPr>
        <w:t xml:space="preserve">Административные структуры, в рамках которых существует Бюро по проектам МООД, затрудняют участие Бюро в проектах, финансируемых Европейским союзом, включая проекты, финансируемые «Горизонтом», и контракты ЕАСМЕ, такие как различные направления проекта EMODnet. Например, отмечается, что Европейский союз вложил значительные средства путем финансирования программы «Горизонт» в области открытых данных и открытой науки, в которую МООД способен внести свой вклад. Авторы обзора рекомендовали изучить структуры, которые позволят Бюро по проектам более оперативно реагировать на такие проекты, например, в форме дочерней организации или некоммерческой международной ассоциации. Это может также потребовать привлечения </w:t>
      </w:r>
      <w:r>
        <w:rPr>
          <w:rFonts w:cs="Arial"/>
          <w:lang w:val="ru"/>
        </w:rPr>
        <w:lastRenderedPageBreak/>
        <w:t>секторов, которые традиционно не участвуют в деятельности Бюро по проектам МООД, в частности, частного сектора промышленности.</w:t>
      </w:r>
    </w:p>
    <w:p w14:paraId="4B05DF1C" w14:textId="77777777" w:rsidR="00AD06D8" w:rsidRDefault="00AD06D8" w:rsidP="00B80498">
      <w:pPr>
        <w:numPr>
          <w:ilvl w:val="0"/>
          <w:numId w:val="28"/>
        </w:numPr>
        <w:tabs>
          <w:tab w:val="clear" w:pos="567"/>
        </w:tabs>
        <w:spacing w:after="240"/>
        <w:ind w:left="1260" w:hanging="567"/>
        <w:jc w:val="both"/>
        <w:rPr>
          <w:rFonts w:cs="Arial"/>
        </w:rPr>
      </w:pPr>
      <w:r>
        <w:rPr>
          <w:rFonts w:cs="Arial"/>
          <w:lang w:val="ru"/>
        </w:rPr>
        <w:t>Необходимо также разработать планы устойчивого развития для ключевых и/или наиболее приоритетных проектов МООД, чтобы максимально увеличить потенциальный охват и воздействие проектов. В этих планах обеспечения устойчивости следует рассмотреть вопрос о дальнейшем и более широком использовании смешанных учебных платформ для курсов Глобальной академии «Океан-Инструктор», как это было успешно сделано в 2020 году. Авторам обзора также было предложено рассмотреть вопрос о предоставлении региональным учебным центрам большей автономии в качестве одного из элементов обеспечения устойчивости Глобальной академии «Океан-Инструктор».</w:t>
      </w:r>
    </w:p>
    <w:p w14:paraId="737E9C49" w14:textId="7F072F97" w:rsidR="00AD06D8" w:rsidRPr="00B80498" w:rsidRDefault="00AD06D8" w:rsidP="00B80498">
      <w:pPr>
        <w:numPr>
          <w:ilvl w:val="0"/>
          <w:numId w:val="28"/>
        </w:numPr>
        <w:tabs>
          <w:tab w:val="clear" w:pos="567"/>
        </w:tabs>
        <w:spacing w:after="240"/>
        <w:ind w:left="1260" w:hanging="567"/>
        <w:jc w:val="both"/>
        <w:rPr>
          <w:rFonts w:cs="Arial"/>
        </w:rPr>
      </w:pPr>
      <w:r>
        <w:rPr>
          <w:rFonts w:cs="Arial"/>
          <w:lang w:val="ru"/>
        </w:rPr>
        <w:t xml:space="preserve">Расширение штата Бюро по проектам МООД, в частности в области информационных технологий, должно способствовать достижению цели привлечения более устойчивого финансирования и повышения способности отвечать на запросы по проектам. В настоящее время штат ИТ-отдела насчитывает всего одного сотрудника, и это накладывает ограничения на техническую поддержку и руководство, которые может обеспечить Бюро по проектам, особенно при рассмотрении таких проектов, как </w:t>
      </w:r>
      <w:hyperlink r:id="rId12" w:history="1">
        <w:r>
          <w:rPr>
            <w:rStyle w:val="Hyperlink"/>
            <w:rFonts w:cs="Arial"/>
            <w:lang w:val="ru"/>
          </w:rPr>
          <w:t>«Инфохаб-Океан»</w:t>
        </w:r>
      </w:hyperlink>
      <w:r>
        <w:rPr>
          <w:rFonts w:cs="Arial"/>
          <w:lang w:val="ru"/>
        </w:rPr>
        <w:t>. Наем и сохранение дополнительного штатного персонала с навыками в области цифровых и информационных технологий также поможет Бюро по проектам МООД поддержать свою актуальность в быстро и постоянно меняющемся ландшафте управления данными и закрепить роль МООД в «FAIR-</w:t>
      </w:r>
      <w:proofErr w:type="spellStart"/>
      <w:r>
        <w:rPr>
          <w:rFonts w:cs="Arial"/>
          <w:lang w:val="ru"/>
        </w:rPr>
        <w:t>фикации</w:t>
      </w:r>
      <w:proofErr w:type="spellEnd"/>
      <w:r>
        <w:rPr>
          <w:rFonts w:cs="Arial"/>
          <w:lang w:val="ru"/>
        </w:rPr>
        <w:t>» океанических данных.</w:t>
      </w:r>
    </w:p>
    <w:p w14:paraId="5B3E880A" w14:textId="1E16B3F8" w:rsidR="00AD06D8" w:rsidRDefault="00AD06D8" w:rsidP="00B80498">
      <w:pPr>
        <w:numPr>
          <w:ilvl w:val="0"/>
          <w:numId w:val="28"/>
        </w:numPr>
        <w:tabs>
          <w:tab w:val="clear" w:pos="567"/>
          <w:tab w:val="left" w:pos="709"/>
        </w:tabs>
        <w:spacing w:after="240"/>
        <w:ind w:left="1260" w:hanging="567"/>
        <w:jc w:val="both"/>
        <w:rPr>
          <w:rFonts w:cs="Arial"/>
        </w:rPr>
      </w:pPr>
      <w:r>
        <w:rPr>
          <w:rFonts w:cs="Arial"/>
          <w:lang w:val="ru"/>
        </w:rPr>
        <w:t>В краткосрочной перспективе проблема кадрового обеспечения может быть дополнительно уменьшена путем поощрения прикомандирования и стажировок в Бюро по проектам МООД представителей более широкого круга государств-членов ЮНЕСКО/МОК, особенно в связи с ролью Бюро по проектам МООД в стратегии ЮНЕСКО/МОК в области развития потенциала.</w:t>
      </w:r>
    </w:p>
    <w:p w14:paraId="7D26C362" w14:textId="008AD21F" w:rsidR="00AD06D8" w:rsidRPr="00B80498" w:rsidRDefault="00AD06D8" w:rsidP="00B80498">
      <w:pPr>
        <w:pStyle w:val="ListParagraph"/>
        <w:numPr>
          <w:ilvl w:val="0"/>
          <w:numId w:val="28"/>
        </w:numPr>
        <w:tabs>
          <w:tab w:val="left" w:pos="709"/>
        </w:tabs>
        <w:spacing w:after="240"/>
        <w:ind w:left="1260" w:hanging="567"/>
        <w:contextualSpacing w:val="0"/>
      </w:pPr>
      <w:r>
        <w:rPr>
          <w:rFonts w:cs="Arial"/>
          <w:lang w:val="ru"/>
        </w:rPr>
        <w:t xml:space="preserve">Авторы обзора рекомендовали возобновить МОВ между МОК и Морским институтом Фландрии (ВЛИЗ). </w:t>
      </w:r>
    </w:p>
    <w:p w14:paraId="6BCDCB2E" w14:textId="4C02626C" w:rsidR="00E74D31" w:rsidRPr="00E74D31" w:rsidRDefault="00E74D31" w:rsidP="00B80498">
      <w:pPr>
        <w:pStyle w:val="COI"/>
      </w:pPr>
      <w:r>
        <w:rPr>
          <w:lang w:val="ru"/>
        </w:rPr>
        <w:t>После рассмотрения полного доклада об обзоре (</w:t>
      </w:r>
      <w:hyperlink r:id="rId13" w:history="1">
        <w:r>
          <w:rPr>
            <w:rStyle w:val="Hyperlink"/>
            <w:rFonts w:cs="Arial"/>
            <w:lang w:val="ru"/>
          </w:rPr>
          <w:t>Документ IOC/IODE-XXVI/6.5</w:t>
        </w:r>
      </w:hyperlink>
      <w:r>
        <w:rPr>
          <w:lang w:val="ru"/>
        </w:rPr>
        <w:t xml:space="preserve">(Обзор эффективности деятельности Бюро МОК по проектам МООД)) Комитет по МООД на своей 26-й сессии (20–23 апреля 2021 г.) принял </w:t>
      </w:r>
      <w:hyperlink r:id="rId14" w:anchor="R65" w:history="1">
        <w:r>
          <w:rPr>
            <w:rStyle w:val="Hyperlink"/>
            <w:rFonts w:cs="Arial"/>
            <w:lang w:val="ru"/>
          </w:rPr>
          <w:t>Рекомендацию IODE-XXVI.6.5: Бюро ЮНЕСКО/МОК по проектам МООД в Остенде (Бельгия)</w:t>
        </w:r>
      </w:hyperlink>
      <w:r>
        <w:rPr>
          <w:lang w:val="ru"/>
        </w:rPr>
        <w:t>.</w:t>
      </w:r>
    </w:p>
    <w:p w14:paraId="263007BD" w14:textId="77777777" w:rsidR="004E27E7" w:rsidRPr="00853565" w:rsidRDefault="004E27E7" w:rsidP="00B80498">
      <w:pPr>
        <w:pStyle w:val="Heading3"/>
      </w:pPr>
      <w:r>
        <w:rPr>
          <w:lang w:val="ru"/>
        </w:rPr>
        <w:t>Финансовые и административные последствия</w:t>
      </w:r>
    </w:p>
    <w:p w14:paraId="467F8C23" w14:textId="34017CB6" w:rsidR="004E27E7" w:rsidRPr="004E27E7" w:rsidRDefault="004E27E7" w:rsidP="00B80498">
      <w:pPr>
        <w:pStyle w:val="COI"/>
      </w:pPr>
      <w:r>
        <w:rPr>
          <w:lang w:val="ru"/>
        </w:rPr>
        <w:t>Финансовые последствия (расходы) для МОК отсутствуют. Административные последствия включают составление и подписание нового Меморандума о взаимопонимании между Морским институтом Фландрии (ВЛИЗ) и МОК.</w:t>
      </w:r>
    </w:p>
    <w:p w14:paraId="407BFF67" w14:textId="711ED287" w:rsidR="00AD06D8" w:rsidRPr="004E27E7" w:rsidRDefault="00AD06D8" w:rsidP="00B80498">
      <w:pPr>
        <w:pStyle w:val="COI"/>
        <w:numPr>
          <w:ilvl w:val="0"/>
          <w:numId w:val="0"/>
        </w:numPr>
        <w:rPr>
          <w:b/>
          <w:bCs/>
        </w:rPr>
      </w:pPr>
      <w:r>
        <w:rPr>
          <w:b/>
          <w:bCs/>
          <w:lang w:val="ru"/>
        </w:rPr>
        <w:t>Предлагаемое решение</w:t>
      </w:r>
    </w:p>
    <w:p w14:paraId="10C1C20E" w14:textId="6F6D8BA8" w:rsidR="00AD06D8" w:rsidRDefault="00AD06D8" w:rsidP="00B80498">
      <w:pPr>
        <w:pStyle w:val="COI"/>
      </w:pPr>
      <w:r>
        <w:rPr>
          <w:lang w:val="ru"/>
        </w:rPr>
        <w:t xml:space="preserve">В свете вышеизложенного Ассамблея МОК, возможно, пожелает рассмотреть решение, представленное документе о принятых и предлагаемых мерах (документ </w:t>
      </w:r>
      <w:hyperlink r:id="rId15" w:history="1">
        <w:r>
          <w:rPr>
            <w:rStyle w:val="Hyperlink"/>
            <w:lang w:val="ru"/>
          </w:rPr>
          <w:t>IOC-31/AP</w:t>
        </w:r>
      </w:hyperlink>
      <w:r>
        <w:rPr>
          <w:lang w:val="ru"/>
        </w:rPr>
        <w:t xml:space="preserve"> Rev.) под номером Реш. A-31/3.4.2.</w:t>
      </w:r>
    </w:p>
    <w:p w14:paraId="7B4BBF5C" w14:textId="77777777" w:rsidR="00AD06D8" w:rsidRDefault="00AD06D8" w:rsidP="00B80498">
      <w:pPr>
        <w:pStyle w:val="COI"/>
        <w:numPr>
          <w:ilvl w:val="0"/>
          <w:numId w:val="0"/>
        </w:numPr>
      </w:pPr>
    </w:p>
    <w:sectPr w:rsidR="00AD06D8" w:rsidSect="003F7186">
      <w:headerReference w:type="even" r:id="rId16"/>
      <w:headerReference w:type="default" r:id="rId17"/>
      <w:headerReference w:type="first" r:id="rId18"/>
      <w:type w:val="oddPage"/>
      <w:pgSz w:w="11906" w:h="16838" w:code="9"/>
      <w:pgMar w:top="1418" w:right="1134" w:bottom="1134" w:left="1134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9051A" w14:textId="77777777" w:rsidR="00CE043A" w:rsidRDefault="00CE043A">
      <w:r>
        <w:separator/>
      </w:r>
    </w:p>
  </w:endnote>
  <w:endnote w:type="continuationSeparator" w:id="0">
    <w:p w14:paraId="5B3B3BA1" w14:textId="77777777" w:rsidR="00CE043A" w:rsidRDefault="00CE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D1997" w14:textId="77777777" w:rsidR="00CE043A" w:rsidRDefault="00CE043A">
      <w:r>
        <w:separator/>
      </w:r>
    </w:p>
  </w:footnote>
  <w:footnote w:type="continuationSeparator" w:id="0">
    <w:p w14:paraId="72FFAA59" w14:textId="77777777" w:rsidR="00CE043A" w:rsidRDefault="00CE0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C5CDC" w14:textId="77777777" w:rsidR="00020AA1" w:rsidRPr="00C962F0" w:rsidRDefault="00020AA1">
    <w:pPr>
      <w:pStyle w:val="Header"/>
      <w:rPr>
        <w:szCs w:val="22"/>
      </w:rPr>
    </w:pPr>
    <w:r>
      <w:rPr>
        <w:szCs w:val="22"/>
        <w:lang w:val="ru"/>
      </w:rPr>
      <w:t xml:space="preserve">ICG/CARIBE-EWS II/WD </w:t>
    </w:r>
    <w:r>
      <w:rPr>
        <w:szCs w:val="22"/>
        <w:highlight w:val="cyan"/>
        <w:lang w:val="ru"/>
      </w:rPr>
      <w:t>__</w:t>
    </w:r>
  </w:p>
  <w:p w14:paraId="48634EFF" w14:textId="77777777" w:rsidR="00020AA1" w:rsidRPr="00C962F0" w:rsidRDefault="00020AA1">
    <w:pPr>
      <w:pStyle w:val="Header"/>
      <w:rPr>
        <w:szCs w:val="22"/>
      </w:rPr>
    </w:pPr>
    <w:r>
      <w:rPr>
        <w:szCs w:val="22"/>
        <w:lang w:val="ru"/>
      </w:rPr>
      <w:t>Страница </w:t>
    </w:r>
    <w:r>
      <w:rPr>
        <w:rStyle w:val="PageNumber"/>
        <w:szCs w:val="22"/>
        <w:lang w:val="ru"/>
      </w:rPr>
      <w:fldChar w:fldCharType="begin"/>
    </w:r>
    <w:r>
      <w:rPr>
        <w:rStyle w:val="PageNumber"/>
        <w:szCs w:val="22"/>
        <w:lang w:val="ru"/>
      </w:rPr>
      <w:instrText xml:space="preserve"> PAGE </w:instrText>
    </w:r>
    <w:r>
      <w:rPr>
        <w:rStyle w:val="PageNumber"/>
        <w:szCs w:val="22"/>
        <w:lang w:val="ru"/>
      </w:rPr>
      <w:fldChar w:fldCharType="separate"/>
    </w:r>
    <w:r>
      <w:rPr>
        <w:rStyle w:val="PageNumber"/>
        <w:noProof/>
        <w:szCs w:val="22"/>
        <w:lang w:val="ru"/>
      </w:rPr>
      <w:t>2</w:t>
    </w:r>
    <w:r>
      <w:rPr>
        <w:rStyle w:val="PageNumber"/>
        <w:szCs w:val="22"/>
        <w:lang w:val="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924D4" w14:textId="77777777" w:rsidR="00020AA1" w:rsidRPr="00746B89" w:rsidRDefault="00020AA1" w:rsidP="00DF2FB9">
    <w:pPr>
      <w:pStyle w:val="Header"/>
      <w:tabs>
        <w:tab w:val="clear" w:pos="8306"/>
      </w:tabs>
      <w:rPr>
        <w:szCs w:val="22"/>
      </w:rPr>
    </w:pPr>
    <w:r>
      <w:rPr>
        <w:szCs w:val="22"/>
        <w:lang w:val="ru"/>
      </w:rPr>
      <w:t xml:space="preserve">IOC-XXIV/2 Annex </w:t>
    </w:r>
    <w:r>
      <w:rPr>
        <w:szCs w:val="22"/>
        <w:highlight w:val="yellow"/>
        <w:lang w:val="ru"/>
      </w:rPr>
      <w:t>__</w:t>
    </w:r>
  </w:p>
  <w:p w14:paraId="4AA6D70B" w14:textId="77777777" w:rsidR="00020AA1" w:rsidRPr="00746B89" w:rsidRDefault="00020AA1" w:rsidP="00DF2FB9">
    <w:pPr>
      <w:pStyle w:val="Header"/>
      <w:tabs>
        <w:tab w:val="clear" w:pos="8306"/>
      </w:tabs>
      <w:rPr>
        <w:szCs w:val="22"/>
      </w:rPr>
    </w:pPr>
    <w:r>
      <w:rPr>
        <w:szCs w:val="22"/>
        <w:lang w:val="ru"/>
      </w:rPr>
      <w:t>Страница </w:t>
    </w:r>
    <w:r>
      <w:rPr>
        <w:rStyle w:val="PageNumber"/>
        <w:szCs w:val="22"/>
        <w:lang w:val="ru"/>
      </w:rPr>
      <w:fldChar w:fldCharType="begin"/>
    </w:r>
    <w:r>
      <w:rPr>
        <w:rStyle w:val="PageNumber"/>
        <w:szCs w:val="22"/>
        <w:lang w:val="ru"/>
      </w:rPr>
      <w:instrText xml:space="preserve"> PAGE </w:instrText>
    </w:r>
    <w:r>
      <w:rPr>
        <w:rStyle w:val="PageNumber"/>
        <w:szCs w:val="22"/>
        <w:lang w:val="ru"/>
      </w:rPr>
      <w:fldChar w:fldCharType="separate"/>
    </w:r>
    <w:r>
      <w:rPr>
        <w:rStyle w:val="PageNumber"/>
        <w:noProof/>
        <w:szCs w:val="22"/>
        <w:lang w:val="ru"/>
      </w:rPr>
      <w:t>3</w:t>
    </w:r>
    <w:r>
      <w:rPr>
        <w:rStyle w:val="PageNumber"/>
        <w:szCs w:val="22"/>
        <w:lang w:val="ru"/>
      </w:rPr>
      <w:fldChar w:fldCharType="end"/>
    </w:r>
  </w:p>
  <w:p w14:paraId="7D94AEC3" w14:textId="77777777" w:rsidR="00020AA1" w:rsidRPr="00DF2FB9" w:rsidRDefault="00020AA1" w:rsidP="00DF2FB9">
    <w:pPr>
      <w:pStyle w:val="Header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623D0" w14:textId="58939814" w:rsidR="00020AA1" w:rsidRPr="005E544C" w:rsidRDefault="00020AA1" w:rsidP="001B33EB">
    <w:pPr>
      <w:pStyle w:val="Marge"/>
      <w:tabs>
        <w:tab w:val="left" w:pos="5954"/>
      </w:tabs>
      <w:spacing w:after="0"/>
      <w:rPr>
        <w:rFonts w:cs="Arial"/>
        <w:b/>
        <w:szCs w:val="22"/>
      </w:rPr>
    </w:pPr>
    <w:r>
      <w:rPr>
        <w:rFonts w:cs="Arial"/>
        <w:szCs w:val="22"/>
        <w:lang w:val="ru"/>
      </w:rPr>
      <w:t>Рассылается по списку</w:t>
    </w:r>
    <w:r>
      <w:rPr>
        <w:rFonts w:cs="Arial"/>
        <w:szCs w:val="22"/>
        <w:lang w:val="ru"/>
      </w:rPr>
      <w:tab/>
    </w:r>
    <w:r>
      <w:rPr>
        <w:rFonts w:cs="Arial"/>
        <w:b/>
        <w:bCs/>
        <w:sz w:val="36"/>
        <w:szCs w:val="36"/>
        <w:lang w:val="ru"/>
      </w:rPr>
      <w:t>IOC/A-31/</w:t>
    </w:r>
    <w:r>
      <w:rPr>
        <w:rFonts w:cs="Arial"/>
        <w:b/>
        <w:bCs/>
        <w:color w:val="000000" w:themeColor="text1"/>
        <w:sz w:val="36"/>
        <w:szCs w:val="36"/>
        <w:lang w:val="ru"/>
      </w:rPr>
      <w:t>3.4.2.</w:t>
    </w:r>
    <w:r>
      <w:rPr>
        <w:rFonts w:cs="Arial"/>
        <w:b/>
        <w:bCs/>
        <w:sz w:val="36"/>
        <w:szCs w:val="36"/>
        <w:lang w:val="ru"/>
      </w:rPr>
      <w:t>Doc(3)</w:t>
    </w:r>
  </w:p>
  <w:p w14:paraId="29D299B7" w14:textId="7FA012E7" w:rsidR="00020AA1" w:rsidRPr="005E544C" w:rsidRDefault="00020AA1" w:rsidP="001B33EB">
    <w:pPr>
      <w:tabs>
        <w:tab w:val="clear" w:pos="567"/>
        <w:tab w:val="left" w:pos="5954"/>
      </w:tabs>
      <w:jc w:val="both"/>
      <w:rPr>
        <w:rFonts w:cs="Arial"/>
        <w:szCs w:val="22"/>
      </w:rPr>
    </w:pPr>
    <w:r>
      <w:rPr>
        <w:rFonts w:cs="Arial"/>
        <w:szCs w:val="22"/>
        <w:lang w:val="ru"/>
      </w:rPr>
      <w:tab/>
      <w:t>Париж, 26 апреля 2021 года</w:t>
    </w:r>
  </w:p>
  <w:p w14:paraId="0F5FBA0E" w14:textId="77777777" w:rsidR="00020AA1" w:rsidRPr="005E544C" w:rsidRDefault="00020AA1" w:rsidP="001B33EB">
    <w:pPr>
      <w:tabs>
        <w:tab w:val="clear" w:pos="567"/>
        <w:tab w:val="left" w:pos="5954"/>
      </w:tabs>
      <w:jc w:val="both"/>
      <w:rPr>
        <w:rFonts w:cs="Arial"/>
        <w:szCs w:val="22"/>
      </w:rPr>
    </w:pPr>
    <w:r>
      <w:rPr>
        <w:rFonts w:cs="Arial"/>
        <w:szCs w:val="22"/>
        <w:lang w:val="ru"/>
      </w:rPr>
      <w:tab/>
      <w:t>Язык оригинала: английский</w:t>
    </w:r>
  </w:p>
  <w:p w14:paraId="667163E1" w14:textId="77777777" w:rsidR="00020AA1" w:rsidRPr="005E544C" w:rsidRDefault="00020AA1" w:rsidP="00E6493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523"/>
        <w:tab w:val="left" w:pos="576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2711A2CE" w14:textId="37B92545" w:rsidR="00020AA1" w:rsidRDefault="00020AA1" w:rsidP="00DF2FB9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cs="Arial"/>
        <w:b/>
        <w:szCs w:val="22"/>
      </w:rPr>
    </w:pPr>
  </w:p>
  <w:p w14:paraId="54D78E0C" w14:textId="77777777" w:rsidR="00F63C9F" w:rsidRPr="005E544C" w:rsidRDefault="00F63C9F" w:rsidP="00DF2FB9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cs="Arial"/>
        <w:b/>
        <w:szCs w:val="22"/>
      </w:rPr>
    </w:pPr>
  </w:p>
  <w:p w14:paraId="6A9F7A2C" w14:textId="77777777" w:rsidR="00020AA1" w:rsidRPr="005742D0" w:rsidRDefault="00D5049E" w:rsidP="003F7186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 w:val="24"/>
      </w:rPr>
    </w:pPr>
    <w:r>
      <w:rPr>
        <w:rFonts w:cs="Arial"/>
        <w:noProof/>
        <w:snapToGrid/>
        <w:sz w:val="24"/>
        <w:lang w:val="ru"/>
      </w:rPr>
      <w:drawing>
        <wp:anchor distT="0" distB="0" distL="114300" distR="114300" simplePos="0" relativeHeight="251666432" behindDoc="1" locked="0" layoutInCell="1" allowOverlap="1" wp14:anchorId="5A82DC95" wp14:editId="69552847">
          <wp:simplePos x="0" y="0"/>
          <wp:positionH relativeFrom="column">
            <wp:posOffset>-142240</wp:posOffset>
          </wp:positionH>
          <wp:positionV relativeFrom="paragraph">
            <wp:posOffset>1270</wp:posOffset>
          </wp:positionV>
          <wp:extent cx="1714500" cy="881380"/>
          <wp:effectExtent l="0" t="0" r="0" b="0"/>
          <wp:wrapSquare wrapText="bothSides"/>
          <wp:docPr id="9" name="Image 9" descr="notext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otext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24"/>
        <w:lang w:val="ru"/>
      </w:rPr>
      <w:t>МЕЖПРАВИТЕЛЬСТВЕННАЯ ОКЕАНОГРАФИЧЕСКАЯ КОМИССИЯ</w:t>
    </w:r>
  </w:p>
  <w:p w14:paraId="031ED2D0" w14:textId="77777777" w:rsidR="00020AA1" w:rsidRPr="005742D0" w:rsidRDefault="00020AA1" w:rsidP="003F7186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sz w:val="24"/>
      </w:rPr>
    </w:pPr>
    <w:r>
      <w:rPr>
        <w:rFonts w:cs="Arial"/>
        <w:sz w:val="24"/>
        <w:lang w:val="ru"/>
      </w:rPr>
      <w:t>(ЮНЕСКО)</w:t>
    </w:r>
  </w:p>
  <w:p w14:paraId="508A2D75" w14:textId="77777777" w:rsidR="00020AA1" w:rsidRPr="005742D0" w:rsidRDefault="00020AA1" w:rsidP="00E6493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 w:val="24"/>
      </w:rPr>
    </w:pPr>
  </w:p>
  <w:p w14:paraId="5FFECEAD" w14:textId="77777777" w:rsidR="005742D0" w:rsidRPr="005742D0" w:rsidRDefault="005742D0" w:rsidP="005742D0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 w:val="24"/>
      </w:rPr>
    </w:pPr>
    <w:r>
      <w:rPr>
        <w:rFonts w:cs="Arial"/>
        <w:b/>
        <w:bCs/>
        <w:sz w:val="24"/>
        <w:lang w:val="ru"/>
      </w:rPr>
      <w:t>Тридцать первая сессия Ассамблеи</w:t>
    </w:r>
  </w:p>
  <w:p w14:paraId="4D4BA647" w14:textId="0FFB78FA" w:rsidR="00020AA1" w:rsidRPr="005742D0" w:rsidRDefault="005742D0" w:rsidP="005742D0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sz w:val="24"/>
      </w:rPr>
    </w:pPr>
    <w:r>
      <w:rPr>
        <w:rFonts w:cs="Arial"/>
        <w:sz w:val="24"/>
        <w:lang w:val="ru"/>
      </w:rPr>
      <w:t>ЮНЕСКО, 14–25 июня 2021 года (в режиме онлайн)</w:t>
    </w:r>
  </w:p>
  <w:p w14:paraId="6A36CD0E" w14:textId="77777777" w:rsidR="00020AA1" w:rsidRPr="005E544C" w:rsidRDefault="00020AA1" w:rsidP="003F7186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  <w:szCs w:val="22"/>
      </w:rPr>
    </w:pPr>
  </w:p>
  <w:p w14:paraId="53657511" w14:textId="77777777" w:rsidR="00020AA1" w:rsidRPr="005E544C" w:rsidRDefault="00020AA1" w:rsidP="00DF2FB9">
    <w:pPr>
      <w:jc w:val="center"/>
      <w:rPr>
        <w:rFonts w:cs="Arial"/>
        <w:szCs w:val="22"/>
      </w:rPr>
    </w:pPr>
  </w:p>
  <w:p w14:paraId="7648E4FD" w14:textId="77777777" w:rsidR="00020AA1" w:rsidRDefault="00020AA1" w:rsidP="00DF2FB9">
    <w:pPr>
      <w:jc w:val="center"/>
      <w:rPr>
        <w:rFonts w:cs="Arial"/>
        <w:szCs w:val="22"/>
      </w:rPr>
    </w:pPr>
  </w:p>
  <w:p w14:paraId="6585B99D" w14:textId="77777777" w:rsidR="00020AA1" w:rsidRDefault="00020AA1" w:rsidP="00DF2FB9">
    <w:pPr>
      <w:jc w:val="center"/>
      <w:rPr>
        <w:rFonts w:cs="Arial"/>
        <w:szCs w:val="22"/>
      </w:rPr>
    </w:pPr>
  </w:p>
  <w:p w14:paraId="562EB80A" w14:textId="77777777" w:rsidR="00020AA1" w:rsidRDefault="00020AA1" w:rsidP="00DF2FB9">
    <w:pPr>
      <w:jc w:val="center"/>
      <w:rPr>
        <w:rFonts w:cs="Arial"/>
        <w:szCs w:val="22"/>
      </w:rPr>
    </w:pPr>
  </w:p>
  <w:p w14:paraId="59574913" w14:textId="77777777" w:rsidR="00020AA1" w:rsidRPr="005E544C" w:rsidRDefault="00020AA1" w:rsidP="00DF2FB9">
    <w:pPr>
      <w:jc w:val="center"/>
      <w:rPr>
        <w:rFonts w:cs="Arial"/>
        <w:szCs w:val="22"/>
      </w:rPr>
    </w:pPr>
  </w:p>
  <w:p w14:paraId="049B37E5" w14:textId="77777777" w:rsidR="00020AA1" w:rsidRPr="005E544C" w:rsidRDefault="00020AA1" w:rsidP="00DF2FB9">
    <w:pPr>
      <w:jc w:val="center"/>
      <w:rPr>
        <w:rFonts w:cs="Arial"/>
        <w:szCs w:val="22"/>
      </w:rPr>
    </w:pPr>
  </w:p>
  <w:p w14:paraId="51BC0570" w14:textId="1B5EAE2D" w:rsidR="00020AA1" w:rsidRPr="008D2398" w:rsidRDefault="00020AA1" w:rsidP="00DF2FB9">
    <w:pPr>
      <w:pStyle w:val="Heading7"/>
      <w:tabs>
        <w:tab w:val="right" w:pos="9540"/>
      </w:tabs>
      <w:rPr>
        <w:rFonts w:cs="Arial"/>
        <w:sz w:val="24"/>
        <w:u w:val="none"/>
      </w:rPr>
    </w:pPr>
    <w:r>
      <w:rPr>
        <w:rFonts w:cs="Arial"/>
        <w:sz w:val="24"/>
        <w:lang w:val="ru"/>
      </w:rPr>
      <w:t xml:space="preserve">Пункт </w:t>
    </w:r>
    <w:r>
      <w:rPr>
        <w:rFonts w:cs="Arial"/>
        <w:b/>
        <w:bCs/>
        <w:sz w:val="24"/>
        <w:lang w:val="ru"/>
      </w:rPr>
      <w:t xml:space="preserve">3.4.2 </w:t>
    </w:r>
    <w:r>
      <w:rPr>
        <w:rFonts w:cs="Arial"/>
        <w:sz w:val="24"/>
        <w:lang w:val="ru"/>
      </w:rPr>
      <w:t>предварительной повестки дня</w:t>
    </w:r>
  </w:p>
  <w:p w14:paraId="35296AD6" w14:textId="77777777" w:rsidR="00020AA1" w:rsidRPr="005E544C" w:rsidRDefault="00020AA1" w:rsidP="00DF2FB9">
    <w:pPr>
      <w:rPr>
        <w:rFonts w:cs="Arial"/>
        <w:szCs w:val="22"/>
      </w:rPr>
    </w:pPr>
  </w:p>
  <w:p w14:paraId="10F462B8" w14:textId="77777777" w:rsidR="00020AA1" w:rsidRPr="005E544C" w:rsidRDefault="00020AA1" w:rsidP="00DF2FB9">
    <w:pPr>
      <w:rPr>
        <w:rFonts w:cs="Arial"/>
        <w:szCs w:val="22"/>
      </w:rPr>
    </w:pPr>
  </w:p>
  <w:p w14:paraId="0A7BF18E" w14:textId="28BF752A" w:rsidR="00020AA1" w:rsidRPr="009C15B1" w:rsidRDefault="00F63C9F" w:rsidP="009C15B1">
    <w:pPr>
      <w:pStyle w:val="Docheading"/>
    </w:pPr>
    <w:r>
      <w:rPr>
        <w:lang w:val="ru"/>
      </w:rPr>
      <w:t xml:space="preserve">Предложение о возобновлении МЕМОРАНДУМА О ВЗАИМОПОНИМАНИИ между Морским институтом Фландрии (ВЛИЗ) и МОК в отношении Бюро МОК по проектам МООД </w:t>
    </w:r>
  </w:p>
  <w:p w14:paraId="4FEE9DB7" w14:textId="77777777" w:rsidR="00020AA1" w:rsidRPr="005E544C" w:rsidRDefault="00020AA1" w:rsidP="00DF2FB9">
    <w:pPr>
      <w:pStyle w:val="Header"/>
      <w:rPr>
        <w:rFonts w:cs="Arial"/>
        <w:szCs w:val="22"/>
      </w:rPr>
    </w:pPr>
  </w:p>
  <w:p w14:paraId="10255A1D" w14:textId="77777777" w:rsidR="00020AA1" w:rsidRPr="005E544C" w:rsidRDefault="00020AA1">
    <w:pPr>
      <w:pStyle w:val="Header"/>
      <w:rPr>
        <w:rFonts w:cs="Arial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EB8F4" w14:textId="34BB8F23" w:rsidR="00EE10D0" w:rsidRPr="00EE10D0" w:rsidRDefault="00EE10D0" w:rsidP="00EE10D0">
    <w:pPr>
      <w:pStyle w:val="Header"/>
      <w:rPr>
        <w:rFonts w:cs="Arial"/>
        <w:color w:val="000000" w:themeColor="text1"/>
        <w:sz w:val="20"/>
        <w:szCs w:val="20"/>
      </w:rPr>
    </w:pPr>
    <w:r>
      <w:rPr>
        <w:rFonts w:cs="Arial"/>
        <w:color w:val="000000" w:themeColor="text1"/>
        <w:sz w:val="20"/>
        <w:szCs w:val="20"/>
        <w:lang w:val="ru"/>
      </w:rPr>
      <w:t>IOC/A-31/3.4.2.Doc(3)</w:t>
    </w:r>
  </w:p>
  <w:p w14:paraId="6062F566" w14:textId="77777777" w:rsidR="00020AA1" w:rsidRPr="006842FA" w:rsidRDefault="00003B31" w:rsidP="00746B89">
    <w:pPr>
      <w:pStyle w:val="Header"/>
      <w:tabs>
        <w:tab w:val="clear" w:pos="8306"/>
      </w:tabs>
      <w:rPr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>страница </w:t>
    </w:r>
    <w:r>
      <w:rPr>
        <w:rStyle w:val="PageNumber"/>
        <w:rFonts w:cs="Arial"/>
        <w:sz w:val="20"/>
        <w:szCs w:val="20"/>
        <w:lang w:val="ru"/>
      </w:rPr>
      <w:fldChar w:fldCharType="begin"/>
    </w:r>
    <w:r>
      <w:rPr>
        <w:rStyle w:val="PageNumber"/>
        <w:rFonts w:cs="Arial"/>
        <w:sz w:val="20"/>
        <w:szCs w:val="20"/>
        <w:lang w:val="ru"/>
      </w:rPr>
      <w:instrText xml:space="preserve"> PAGE </w:instrText>
    </w:r>
    <w:r>
      <w:rPr>
        <w:rStyle w:val="PageNumber"/>
        <w:rFonts w:cs="Arial"/>
        <w:sz w:val="20"/>
        <w:szCs w:val="20"/>
        <w:lang w:val="ru"/>
      </w:rPr>
      <w:fldChar w:fldCharType="separate"/>
    </w:r>
    <w:r>
      <w:rPr>
        <w:rStyle w:val="PageNumber"/>
        <w:rFonts w:cs="Arial"/>
        <w:noProof/>
        <w:sz w:val="20"/>
        <w:szCs w:val="20"/>
        <w:lang w:val="ru"/>
      </w:rPr>
      <w:t>2</w:t>
    </w:r>
    <w:r>
      <w:rPr>
        <w:rStyle w:val="PageNumber"/>
        <w:rFonts w:cs="Arial"/>
        <w:sz w:val="20"/>
        <w:szCs w:val="20"/>
        <w:lang w:val="ru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A1FEF" w14:textId="1A6F0603" w:rsidR="00EE10D0" w:rsidRPr="00EE10D0" w:rsidRDefault="00EE10D0" w:rsidP="00EE10D0">
    <w:pPr>
      <w:pStyle w:val="Header"/>
      <w:jc w:val="right"/>
      <w:rPr>
        <w:rFonts w:cs="Arial"/>
        <w:color w:val="000000" w:themeColor="text1"/>
        <w:sz w:val="20"/>
        <w:szCs w:val="20"/>
      </w:rPr>
    </w:pPr>
    <w:r>
      <w:rPr>
        <w:rFonts w:cs="Arial"/>
        <w:color w:val="000000" w:themeColor="text1"/>
        <w:sz w:val="20"/>
        <w:szCs w:val="20"/>
        <w:lang w:val="ru"/>
      </w:rPr>
      <w:t>IOC/A-31/3.4.2.Doc(3)</w:t>
    </w:r>
  </w:p>
  <w:p w14:paraId="59307D7E" w14:textId="304661D4" w:rsidR="00020AA1" w:rsidRPr="00FC2521" w:rsidRDefault="00003B31" w:rsidP="005742D0">
    <w:pPr>
      <w:pStyle w:val="Header"/>
      <w:tabs>
        <w:tab w:val="clear" w:pos="8306"/>
      </w:tabs>
      <w:ind w:left="7655"/>
      <w:rPr>
        <w:rFonts w:cs="Arial"/>
        <w:sz w:val="20"/>
        <w:szCs w:val="22"/>
      </w:rPr>
    </w:pPr>
    <w:r>
      <w:rPr>
        <w:rFonts w:cs="Arial"/>
        <w:sz w:val="20"/>
        <w:szCs w:val="22"/>
        <w:lang w:val="ru"/>
      </w:rPr>
      <w:t>страница </w:t>
    </w:r>
    <w:r>
      <w:rPr>
        <w:rStyle w:val="PageNumber"/>
        <w:rFonts w:cs="Arial"/>
        <w:sz w:val="20"/>
        <w:szCs w:val="22"/>
        <w:lang w:val="ru"/>
      </w:rPr>
      <w:fldChar w:fldCharType="begin"/>
    </w:r>
    <w:r>
      <w:rPr>
        <w:rStyle w:val="PageNumber"/>
        <w:rFonts w:cs="Arial"/>
        <w:sz w:val="20"/>
        <w:szCs w:val="22"/>
        <w:lang w:val="ru"/>
      </w:rPr>
      <w:instrText xml:space="preserve"> PAGE </w:instrText>
    </w:r>
    <w:r>
      <w:rPr>
        <w:rStyle w:val="PageNumber"/>
        <w:rFonts w:cs="Arial"/>
        <w:sz w:val="20"/>
        <w:szCs w:val="22"/>
        <w:lang w:val="ru"/>
      </w:rPr>
      <w:fldChar w:fldCharType="separate"/>
    </w:r>
    <w:r>
      <w:rPr>
        <w:rStyle w:val="PageNumber"/>
        <w:rFonts w:cs="Arial"/>
        <w:noProof/>
        <w:sz w:val="20"/>
        <w:szCs w:val="22"/>
        <w:lang w:val="ru"/>
      </w:rPr>
      <w:t>3</w:t>
    </w:r>
    <w:r>
      <w:rPr>
        <w:rStyle w:val="PageNumber"/>
        <w:rFonts w:cs="Arial"/>
        <w:sz w:val="20"/>
        <w:szCs w:val="22"/>
        <w:lang w:val="ru"/>
      </w:rPr>
      <w:fldChar w:fldCharType="end"/>
    </w:r>
  </w:p>
  <w:p w14:paraId="344B420F" w14:textId="77777777" w:rsidR="00020AA1" w:rsidRPr="00FC2521" w:rsidRDefault="00020AA1" w:rsidP="005742D0">
    <w:pPr>
      <w:pStyle w:val="Header"/>
      <w:ind w:left="7655"/>
      <w:rPr>
        <w:rFonts w:cs="Arial"/>
        <w:sz w:val="20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7C42D" w14:textId="1723D976" w:rsidR="00020AA1" w:rsidRPr="00EE10D0" w:rsidRDefault="005742D0" w:rsidP="00294AD5">
    <w:pPr>
      <w:pStyle w:val="Header"/>
      <w:jc w:val="right"/>
      <w:rPr>
        <w:rFonts w:cs="Arial"/>
        <w:color w:val="000000" w:themeColor="text1"/>
        <w:sz w:val="20"/>
        <w:szCs w:val="20"/>
      </w:rPr>
    </w:pPr>
    <w:r>
      <w:rPr>
        <w:rFonts w:cs="Arial"/>
        <w:color w:val="000000" w:themeColor="text1"/>
        <w:sz w:val="20"/>
        <w:szCs w:val="20"/>
        <w:lang w:val="ru"/>
      </w:rPr>
      <w:t>IOC/A-31/3.4.2.Doc(3)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25768A0"/>
    <w:multiLevelType w:val="hybridMultilevel"/>
    <w:tmpl w:val="105887A4"/>
    <w:lvl w:ilvl="0" w:tplc="1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4FD05F0"/>
    <w:multiLevelType w:val="hybridMultilevel"/>
    <w:tmpl w:val="E012D13C"/>
    <w:lvl w:ilvl="0" w:tplc="18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0768573E"/>
    <w:multiLevelType w:val="hybridMultilevel"/>
    <w:tmpl w:val="797C310C"/>
    <w:lvl w:ilvl="0" w:tplc="1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1C9C"/>
    <w:multiLevelType w:val="hybridMultilevel"/>
    <w:tmpl w:val="23A85EFA"/>
    <w:lvl w:ilvl="0" w:tplc="CFBCE8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6" w15:restartNumberingAfterBreak="0">
    <w:nsid w:val="15D6733D"/>
    <w:multiLevelType w:val="hybridMultilevel"/>
    <w:tmpl w:val="542EF3C4"/>
    <w:lvl w:ilvl="0" w:tplc="0F8AA590">
      <w:start w:val="1"/>
      <w:numFmt w:val="lowerRoman"/>
      <w:lvlText w:val="(%1) "/>
      <w:lvlJc w:val="left"/>
      <w:pPr>
        <w:ind w:left="1144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7" w15:restartNumberingAfterBreak="0">
    <w:nsid w:val="16765B6D"/>
    <w:multiLevelType w:val="hybridMultilevel"/>
    <w:tmpl w:val="4D948694"/>
    <w:lvl w:ilvl="0" w:tplc="0809000F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 w15:restartNumberingAfterBreak="0">
    <w:nsid w:val="1BC22AC7"/>
    <w:multiLevelType w:val="hybridMultilevel"/>
    <w:tmpl w:val="9C969134"/>
    <w:lvl w:ilvl="0" w:tplc="0F8AA590">
      <w:start w:val="1"/>
      <w:numFmt w:val="lowerRoman"/>
      <w:lvlText w:val="(%1) "/>
      <w:lvlJc w:val="left"/>
      <w:pPr>
        <w:ind w:left="1144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9" w15:restartNumberingAfterBreak="0">
    <w:nsid w:val="223E4F46"/>
    <w:multiLevelType w:val="hybridMultilevel"/>
    <w:tmpl w:val="CB3C4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32415"/>
    <w:multiLevelType w:val="hybridMultilevel"/>
    <w:tmpl w:val="E3968262"/>
    <w:lvl w:ilvl="0" w:tplc="18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1" w15:restartNumberingAfterBreak="0">
    <w:nsid w:val="23540FA1"/>
    <w:multiLevelType w:val="multilevel"/>
    <w:tmpl w:val="9F4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01148F"/>
    <w:multiLevelType w:val="hybridMultilevel"/>
    <w:tmpl w:val="D4D21D80"/>
    <w:lvl w:ilvl="0" w:tplc="0F8AA590">
      <w:start w:val="1"/>
      <w:numFmt w:val="lowerRoman"/>
      <w:lvlText w:val="(%1) "/>
      <w:lvlJc w:val="left"/>
      <w:pPr>
        <w:ind w:left="1144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3" w15:restartNumberingAfterBreak="0">
    <w:nsid w:val="2F410248"/>
    <w:multiLevelType w:val="hybridMultilevel"/>
    <w:tmpl w:val="79BA755A"/>
    <w:lvl w:ilvl="0" w:tplc="18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4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5" w15:restartNumberingAfterBreak="0">
    <w:nsid w:val="427B35FC"/>
    <w:multiLevelType w:val="hybridMultilevel"/>
    <w:tmpl w:val="69B24748"/>
    <w:lvl w:ilvl="0" w:tplc="18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" w15:restartNumberingAfterBreak="0">
    <w:nsid w:val="4B204C64"/>
    <w:multiLevelType w:val="hybridMultilevel"/>
    <w:tmpl w:val="C114D6EC"/>
    <w:lvl w:ilvl="0" w:tplc="D72441DE">
      <w:start w:val="1"/>
      <w:numFmt w:val="decimal"/>
      <w:pStyle w:val="COI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815C32"/>
    <w:multiLevelType w:val="multilevel"/>
    <w:tmpl w:val="74AE9284"/>
    <w:lvl w:ilvl="0">
      <w:start w:val="1"/>
      <w:numFmt w:val="lowerRoman"/>
      <w:lvlText w:val="(%1) "/>
      <w:lvlJc w:val="left"/>
      <w:pPr>
        <w:ind w:left="7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8" w15:restartNumberingAfterBreak="0">
    <w:nsid w:val="4BE56066"/>
    <w:multiLevelType w:val="hybridMultilevel"/>
    <w:tmpl w:val="D946EDCA"/>
    <w:lvl w:ilvl="0" w:tplc="1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9" w15:restartNumberingAfterBreak="0">
    <w:nsid w:val="5ABC28B8"/>
    <w:multiLevelType w:val="hybridMultilevel"/>
    <w:tmpl w:val="9A8A42DC"/>
    <w:lvl w:ilvl="0" w:tplc="18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0" w15:restartNumberingAfterBreak="0">
    <w:nsid w:val="5BCC7C35"/>
    <w:multiLevelType w:val="hybridMultilevel"/>
    <w:tmpl w:val="BDC6E2B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A17D0A"/>
    <w:multiLevelType w:val="hybridMultilevel"/>
    <w:tmpl w:val="55782CE0"/>
    <w:lvl w:ilvl="0" w:tplc="18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2" w15:restartNumberingAfterBreak="0">
    <w:nsid w:val="63FC15AA"/>
    <w:multiLevelType w:val="hybridMultilevel"/>
    <w:tmpl w:val="B68242B4"/>
    <w:lvl w:ilvl="0" w:tplc="1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3" w15:restartNumberingAfterBreak="0">
    <w:nsid w:val="64880608"/>
    <w:multiLevelType w:val="multilevel"/>
    <w:tmpl w:val="2FD41DC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4" w15:restartNumberingAfterBreak="0">
    <w:nsid w:val="65AD5998"/>
    <w:multiLevelType w:val="hybridMultilevel"/>
    <w:tmpl w:val="A8207912"/>
    <w:lvl w:ilvl="0" w:tplc="0F8AA590">
      <w:start w:val="1"/>
      <w:numFmt w:val="lowerRoman"/>
      <w:lvlText w:val="(%1) "/>
      <w:lvlJc w:val="left"/>
      <w:pPr>
        <w:ind w:left="1144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5" w15:restartNumberingAfterBreak="0">
    <w:nsid w:val="66EB247F"/>
    <w:multiLevelType w:val="hybridMultilevel"/>
    <w:tmpl w:val="8AC8BE56"/>
    <w:lvl w:ilvl="0" w:tplc="0F8AA590">
      <w:start w:val="1"/>
      <w:numFmt w:val="lowerRoman"/>
      <w:lvlText w:val="(%1) "/>
      <w:lvlJc w:val="left"/>
      <w:pPr>
        <w:ind w:left="1144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6" w15:restartNumberingAfterBreak="0">
    <w:nsid w:val="73F70DA7"/>
    <w:multiLevelType w:val="hybridMultilevel"/>
    <w:tmpl w:val="4406109E"/>
    <w:lvl w:ilvl="0" w:tplc="8B48D160">
      <w:start w:val="1"/>
      <w:numFmt w:val="decimal"/>
      <w:pStyle w:val="paranumbered"/>
      <w:lvlText w:val="%1"/>
      <w:lvlJc w:val="left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12C41A6">
      <w:start w:val="1"/>
      <w:numFmt w:val="lowerRoman"/>
      <w:lvlText w:val="(%3)"/>
      <w:lvlJc w:val="left"/>
      <w:pPr>
        <w:ind w:left="2840" w:hanging="86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94486"/>
    <w:multiLevelType w:val="hybridMultilevel"/>
    <w:tmpl w:val="272AF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4"/>
  </w:num>
  <w:num w:numId="5">
    <w:abstractNumId w:val="5"/>
  </w:num>
  <w:num w:numId="6">
    <w:abstractNumId w:val="16"/>
  </w:num>
  <w:num w:numId="7">
    <w:abstractNumId w:val="16"/>
  </w:num>
  <w:num w:numId="8">
    <w:abstractNumId w:val="26"/>
  </w:num>
  <w:num w:numId="9">
    <w:abstractNumId w:val="23"/>
  </w:num>
  <w:num w:numId="10">
    <w:abstractNumId w:val="10"/>
  </w:num>
  <w:num w:numId="11">
    <w:abstractNumId w:val="19"/>
  </w:num>
  <w:num w:numId="12">
    <w:abstractNumId w:val="20"/>
  </w:num>
  <w:num w:numId="13">
    <w:abstractNumId w:val="18"/>
  </w:num>
  <w:num w:numId="14">
    <w:abstractNumId w:val="22"/>
  </w:num>
  <w:num w:numId="15">
    <w:abstractNumId w:val="3"/>
  </w:num>
  <w:num w:numId="16">
    <w:abstractNumId w:val="1"/>
  </w:num>
  <w:num w:numId="17">
    <w:abstractNumId w:val="27"/>
  </w:num>
  <w:num w:numId="18">
    <w:abstractNumId w:val="9"/>
  </w:num>
  <w:num w:numId="19">
    <w:abstractNumId w:val="13"/>
  </w:num>
  <w:num w:numId="20">
    <w:abstractNumId w:val="2"/>
  </w:num>
  <w:num w:numId="21">
    <w:abstractNumId w:val="15"/>
  </w:num>
  <w:num w:numId="22">
    <w:abstractNumId w:val="21"/>
  </w:num>
  <w:num w:numId="23">
    <w:abstractNumId w:val="7"/>
  </w:num>
  <w:num w:numId="24">
    <w:abstractNumId w:val="6"/>
  </w:num>
  <w:num w:numId="25">
    <w:abstractNumId w:val="12"/>
  </w:num>
  <w:num w:numId="26">
    <w:abstractNumId w:val="24"/>
  </w:num>
  <w:num w:numId="27">
    <w:abstractNumId w:val="8"/>
  </w:num>
  <w:num w:numId="28">
    <w:abstractNumId w:val="25"/>
  </w:num>
  <w:num w:numId="29">
    <w:abstractNumId w:val="17"/>
  </w:num>
  <w:num w:numId="3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94"/>
    <w:rsid w:val="00003B31"/>
    <w:rsid w:val="00010BBB"/>
    <w:rsid w:val="00020AA1"/>
    <w:rsid w:val="00085D6A"/>
    <w:rsid w:val="00095FC6"/>
    <w:rsid w:val="000F0254"/>
    <w:rsid w:val="00123719"/>
    <w:rsid w:val="001241D7"/>
    <w:rsid w:val="00137E97"/>
    <w:rsid w:val="001448C4"/>
    <w:rsid w:val="00155393"/>
    <w:rsid w:val="00163C49"/>
    <w:rsid w:val="00167158"/>
    <w:rsid w:val="00196052"/>
    <w:rsid w:val="001B33EB"/>
    <w:rsid w:val="001B3B24"/>
    <w:rsid w:val="001C6455"/>
    <w:rsid w:val="0021210D"/>
    <w:rsid w:val="00294AD5"/>
    <w:rsid w:val="002C6394"/>
    <w:rsid w:val="002C7DE3"/>
    <w:rsid w:val="002E0859"/>
    <w:rsid w:val="0034156B"/>
    <w:rsid w:val="00355412"/>
    <w:rsid w:val="003561BE"/>
    <w:rsid w:val="003805F5"/>
    <w:rsid w:val="003A7860"/>
    <w:rsid w:val="003D3711"/>
    <w:rsid w:val="003F55CF"/>
    <w:rsid w:val="003F7186"/>
    <w:rsid w:val="004031FB"/>
    <w:rsid w:val="00413F17"/>
    <w:rsid w:val="00424DE6"/>
    <w:rsid w:val="00426B8C"/>
    <w:rsid w:val="004529B8"/>
    <w:rsid w:val="00467E3F"/>
    <w:rsid w:val="004A135F"/>
    <w:rsid w:val="004C1625"/>
    <w:rsid w:val="004E27E7"/>
    <w:rsid w:val="004F7D6C"/>
    <w:rsid w:val="005742D0"/>
    <w:rsid w:val="005C7A36"/>
    <w:rsid w:val="005C7D76"/>
    <w:rsid w:val="005E544C"/>
    <w:rsid w:val="006110DA"/>
    <w:rsid w:val="00616571"/>
    <w:rsid w:val="00633EA5"/>
    <w:rsid w:val="00654C89"/>
    <w:rsid w:val="00682613"/>
    <w:rsid w:val="006842FA"/>
    <w:rsid w:val="0068682C"/>
    <w:rsid w:val="00690A0C"/>
    <w:rsid w:val="00690FD2"/>
    <w:rsid w:val="00693199"/>
    <w:rsid w:val="006A5A61"/>
    <w:rsid w:val="006B4B95"/>
    <w:rsid w:val="006C18D9"/>
    <w:rsid w:val="006C6449"/>
    <w:rsid w:val="00737A18"/>
    <w:rsid w:val="00746B89"/>
    <w:rsid w:val="00751680"/>
    <w:rsid w:val="0079212B"/>
    <w:rsid w:val="008048D2"/>
    <w:rsid w:val="0081004E"/>
    <w:rsid w:val="008338A6"/>
    <w:rsid w:val="00853565"/>
    <w:rsid w:val="008A60C9"/>
    <w:rsid w:val="008A6E5C"/>
    <w:rsid w:val="008B384B"/>
    <w:rsid w:val="008D2398"/>
    <w:rsid w:val="008F6942"/>
    <w:rsid w:val="009026D3"/>
    <w:rsid w:val="00993CA4"/>
    <w:rsid w:val="009B0D7B"/>
    <w:rsid w:val="009B63AB"/>
    <w:rsid w:val="009C0A89"/>
    <w:rsid w:val="009C15B1"/>
    <w:rsid w:val="009E6A03"/>
    <w:rsid w:val="009F3A67"/>
    <w:rsid w:val="009F7769"/>
    <w:rsid w:val="00A11697"/>
    <w:rsid w:val="00A16A59"/>
    <w:rsid w:val="00A25BC8"/>
    <w:rsid w:val="00A75EC4"/>
    <w:rsid w:val="00AD06D8"/>
    <w:rsid w:val="00AD3D55"/>
    <w:rsid w:val="00B722DE"/>
    <w:rsid w:val="00B80498"/>
    <w:rsid w:val="00B83068"/>
    <w:rsid w:val="00BD6603"/>
    <w:rsid w:val="00BF069C"/>
    <w:rsid w:val="00BF3835"/>
    <w:rsid w:val="00BF3BF2"/>
    <w:rsid w:val="00C1002D"/>
    <w:rsid w:val="00C2635E"/>
    <w:rsid w:val="00C3684D"/>
    <w:rsid w:val="00C4032B"/>
    <w:rsid w:val="00C6486C"/>
    <w:rsid w:val="00C648D3"/>
    <w:rsid w:val="00C75B02"/>
    <w:rsid w:val="00C962F0"/>
    <w:rsid w:val="00CE043A"/>
    <w:rsid w:val="00D013ED"/>
    <w:rsid w:val="00D36BDC"/>
    <w:rsid w:val="00D5049E"/>
    <w:rsid w:val="00D55FEC"/>
    <w:rsid w:val="00DD0880"/>
    <w:rsid w:val="00DF2FB9"/>
    <w:rsid w:val="00E63DEF"/>
    <w:rsid w:val="00E64936"/>
    <w:rsid w:val="00E74D31"/>
    <w:rsid w:val="00EE0542"/>
    <w:rsid w:val="00EE10D0"/>
    <w:rsid w:val="00F463F2"/>
    <w:rsid w:val="00F63C9F"/>
    <w:rsid w:val="00F66CC5"/>
    <w:rsid w:val="00F8186D"/>
    <w:rsid w:val="00FA0E50"/>
    <w:rsid w:val="00F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C6309B5"/>
  <w15:docId w15:val="{3788035D-DE4E-944E-A67A-1C90C57D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DE6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GB" w:eastAsia="en-US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Heading3">
    <w:name w:val="heading 3"/>
    <w:basedOn w:val="Normal"/>
    <w:next w:val="Marge"/>
    <w:autoRedefine/>
    <w:qFormat/>
    <w:rsid w:val="005C7A36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rsid w:val="00F66CC5"/>
    <w:pPr>
      <w:numPr>
        <w:numId w:val="2"/>
      </w:numPr>
      <w:tabs>
        <w:tab w:val="clear" w:pos="567"/>
        <w:tab w:val="left" w:pos="709"/>
      </w:tabs>
    </w:pPr>
    <w:rPr>
      <w:rFonts w:eastAsia="Arial Unicode MS"/>
      <w:szCs w:val="22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caps/>
      <w:sz w:val="24"/>
    </w:rPr>
  </w:style>
  <w:style w:type="paragraph" w:styleId="BodyTextFirstIndent2">
    <w:name w:val="Body Text First Indent 2"/>
    <w:basedOn w:val="BodyTextIndent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3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paragraph" w:styleId="ListBullet2">
    <w:name w:val="List Bullet 2"/>
    <w:basedOn w:val="Normal"/>
    <w:rsid w:val="006B4B95"/>
    <w:pPr>
      <w:numPr>
        <w:numId w:val="4"/>
      </w:numPr>
      <w:spacing w:after="240"/>
    </w:pPr>
  </w:style>
  <w:style w:type="character" w:customStyle="1" w:styleId="MargeChar">
    <w:name w:val="Marge Char"/>
    <w:basedOn w:val="ParChar"/>
    <w:link w:val="Marge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character" w:customStyle="1" w:styleId="COIChar">
    <w:name w:val="COI Char"/>
    <w:link w:val="COI"/>
    <w:rsid w:val="00F66CC5"/>
    <w:rPr>
      <w:rFonts w:ascii="Arial" w:eastAsia="Arial Unicode MS" w:hAnsi="Arial"/>
      <w:snapToGrid w:val="0"/>
      <w:sz w:val="22"/>
      <w:szCs w:val="22"/>
      <w:lang w:val="en-GB"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C263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032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2D0"/>
    <w:rPr>
      <w:color w:val="605E5C"/>
      <w:shd w:val="clear" w:color="auto" w:fill="E1DFDD"/>
    </w:rPr>
  </w:style>
  <w:style w:type="paragraph" w:customStyle="1" w:styleId="paranumbered">
    <w:name w:val="paranumbered"/>
    <w:basedOn w:val="Normal"/>
    <w:next w:val="Normal"/>
    <w:qFormat/>
    <w:rsid w:val="00EE10D0"/>
    <w:pPr>
      <w:numPr>
        <w:numId w:val="8"/>
      </w:numPr>
      <w:tabs>
        <w:tab w:val="clear" w:pos="567"/>
      </w:tabs>
      <w:snapToGrid/>
      <w:spacing w:before="120" w:line="276" w:lineRule="auto"/>
      <w:ind w:hanging="567"/>
      <w:jc w:val="both"/>
    </w:pPr>
    <w:rPr>
      <w:rFonts w:eastAsia="Arial" w:cs="Arial"/>
      <w:snapToGrid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65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expert.org/document/28075" TargetMode="External"/><Relationship Id="rId13" Type="http://schemas.openxmlformats.org/officeDocument/2006/relationships/hyperlink" Target="https://iode.org/index.php?option=com_oe&amp;task=viewDocumentRecord&amp;docID=27804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ceaninfohub.org/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oceanexpert.org/document/28075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ode.org/index.php?option=com_content&amp;view=article&amp;id=651&amp;Itemid=100419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4D9A-09E7-4243-94EC-0B84122A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1244</Words>
  <Characters>8685</Characters>
  <Application>Microsoft Office Word</Application>
  <DocSecurity>4</DocSecurity>
  <Lines>72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Road to the UN Year</vt:lpstr>
      <vt:lpstr>The Road to the UN Year</vt:lpstr>
    </vt:vector>
  </TitlesOfParts>
  <Company>UNESCO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Road to the UN Year</dc:title>
  <dc:creator>Peter Pissierssens</dc:creator>
  <cp:lastModifiedBy>Pastor Reyes, Ingrid</cp:lastModifiedBy>
  <cp:revision>2</cp:revision>
  <cp:lastPrinted>2002-06-12T09:28:00Z</cp:lastPrinted>
  <dcterms:created xsi:type="dcterms:W3CDTF">2021-06-10T15:53:00Z</dcterms:created>
  <dcterms:modified xsi:type="dcterms:W3CDTF">2021-06-10T15:53:00Z</dcterms:modified>
</cp:coreProperties>
</file>