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6E20A" w14:textId="77777777" w:rsidR="00E75CF6" w:rsidRPr="006D3998" w:rsidRDefault="00E75CF6" w:rsidP="00AC3D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4F3961" w:rsidRPr="00AC3D8A" w14:paraId="1CFB52D4" w14:textId="77777777">
        <w:trPr>
          <w:jc w:val="center"/>
        </w:trPr>
        <w:tc>
          <w:tcPr>
            <w:tcW w:w="7654" w:type="dxa"/>
            <w:tcMar>
              <w:top w:w="170" w:type="dxa"/>
              <w:left w:w="170" w:type="dxa"/>
              <w:bottom w:w="170" w:type="dxa"/>
              <w:right w:w="170" w:type="dxa"/>
            </w:tcMar>
          </w:tcPr>
          <w:p w14:paraId="437A903F" w14:textId="77777777" w:rsidR="00467E3F" w:rsidRPr="00AC3D8A" w:rsidRDefault="00B14F11" w:rsidP="00AC3D8A">
            <w:pPr>
              <w:pStyle w:val="Marge"/>
              <w:jc w:val="center"/>
              <w:rPr>
                <w:rFonts w:cs="Arial"/>
                <w:szCs w:val="22"/>
              </w:rPr>
            </w:pPr>
            <w:r w:rsidRPr="00AC3D8A">
              <w:rPr>
                <w:rFonts w:cs="Arial"/>
                <w:szCs w:val="22"/>
                <w:u w:val="single"/>
                <w:lang w:val="fr"/>
              </w:rPr>
              <w:t>Résumé</w:t>
            </w:r>
          </w:p>
          <w:p w14:paraId="4FFC88F8" w14:textId="77777777" w:rsidR="00737A18" w:rsidRPr="00AC3D8A" w:rsidRDefault="00B14F11" w:rsidP="00AC3D8A">
            <w:pPr>
              <w:pStyle w:val="Marge"/>
              <w:rPr>
                <w:rFonts w:cs="Arial"/>
                <w:szCs w:val="22"/>
              </w:rPr>
            </w:pPr>
            <w:r w:rsidRPr="00AC3D8A">
              <w:rPr>
                <w:rFonts w:cs="Arial"/>
                <w:szCs w:val="22"/>
                <w:lang w:val="fr"/>
              </w:rPr>
              <w:t>Ce document présente un bref rapport du président du Groupe consultatif financier intersessions (IFAG) sur le travail accompli pendant la période intersessions d'avril à juin 2021.</w:t>
            </w:r>
          </w:p>
          <w:p w14:paraId="261F61E5" w14:textId="77777777" w:rsidR="00515584" w:rsidRPr="00AC3D8A" w:rsidRDefault="00B14F11" w:rsidP="00AC3D8A">
            <w:pPr>
              <w:pStyle w:val="Marge"/>
              <w:rPr>
                <w:rFonts w:cs="Arial"/>
                <w:szCs w:val="22"/>
              </w:rPr>
            </w:pPr>
            <w:r w:rsidRPr="00AC3D8A">
              <w:rPr>
                <w:rFonts w:cs="Arial"/>
                <w:u w:val="single"/>
                <w:lang w:val="fr"/>
              </w:rPr>
              <w:t>La décision proposée</w:t>
            </w:r>
            <w:r w:rsidRPr="00AC3D8A">
              <w:rPr>
                <w:rFonts w:cs="Arial"/>
                <w:lang w:val="fr"/>
              </w:rPr>
              <w:t xml:space="preserve"> est référencée sous le nom </w:t>
            </w:r>
            <w:r w:rsidRPr="00AC3D8A">
              <w:rPr>
                <w:rFonts w:cs="Arial"/>
                <w:color w:val="000000"/>
                <w:lang w:val="fr"/>
              </w:rPr>
              <w:t>IOC/A-31/Dec.4.3</w:t>
            </w:r>
            <w:r w:rsidRPr="00AC3D8A">
              <w:rPr>
                <w:rFonts w:cs="Arial"/>
                <w:b/>
                <w:bCs/>
                <w:color w:val="000000"/>
                <w:lang w:val="fr"/>
              </w:rPr>
              <w:t xml:space="preserve"> </w:t>
            </w:r>
            <w:r w:rsidRPr="00AC3D8A">
              <w:rPr>
                <w:rFonts w:cs="Arial"/>
                <w:lang w:val="fr"/>
              </w:rPr>
              <w:t>dans le deuxième document révisé relatif aux décisions à adopter (</w:t>
            </w:r>
            <w:hyperlink r:id="rId8" w:history="1">
              <w:r w:rsidRPr="00AC3D8A">
                <w:rPr>
                  <w:rStyle w:val="Hyperlink"/>
                  <w:rFonts w:cs="Arial"/>
                  <w:lang w:val="fr"/>
                </w:rPr>
                <w:t>IOC/A-31/AP Rev.</w:t>
              </w:r>
            </w:hyperlink>
            <w:r w:rsidRPr="00AC3D8A">
              <w:rPr>
                <w:rStyle w:val="Hyperlink"/>
                <w:rFonts w:cs="Arial"/>
                <w:lang w:val="fr"/>
              </w:rPr>
              <w:t>2</w:t>
            </w:r>
            <w:r w:rsidRPr="00AC3D8A">
              <w:rPr>
                <w:rFonts w:cs="Arial"/>
                <w:lang w:val="fr"/>
              </w:rPr>
              <w:t>) de la 31</w:t>
            </w:r>
            <w:r w:rsidRPr="00AC3D8A">
              <w:rPr>
                <w:rFonts w:cs="Arial"/>
                <w:vertAlign w:val="superscript"/>
                <w:lang w:val="fr"/>
              </w:rPr>
              <w:t>e</w:t>
            </w:r>
            <w:r w:rsidRPr="00AC3D8A">
              <w:rPr>
                <w:rFonts w:cs="Arial"/>
                <w:lang w:val="fr"/>
              </w:rPr>
              <w:t> session de l'Assemblée de la COI.</w:t>
            </w:r>
          </w:p>
        </w:tc>
      </w:tr>
    </w:tbl>
    <w:p w14:paraId="70A5512D" w14:textId="77777777" w:rsidR="00746B89" w:rsidRPr="00AC3D8A" w:rsidRDefault="00746B89" w:rsidP="00AC3D8A">
      <w:pPr>
        <w:pStyle w:val="Heading3"/>
        <w:sectPr w:rsidR="00746B89" w:rsidRPr="00AC3D8A"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1128141A" w14:textId="77777777" w:rsidR="0061723A" w:rsidRPr="00AC3D8A" w:rsidRDefault="00B14F11" w:rsidP="00AC3D8A">
      <w:pPr>
        <w:numPr>
          <w:ilvl w:val="0"/>
          <w:numId w:val="33"/>
        </w:numPr>
        <w:tabs>
          <w:tab w:val="clear" w:pos="567"/>
          <w:tab w:val="left" w:pos="709"/>
        </w:tabs>
        <w:spacing w:after="240"/>
        <w:ind w:left="0" w:firstLine="0"/>
        <w:jc w:val="both"/>
        <w:rPr>
          <w:rStyle w:val="Hyperlink"/>
          <w:rFonts w:asciiTheme="minorBidi" w:hAnsiTheme="minorBidi" w:cstheme="minorBidi"/>
          <w:snapToGrid/>
          <w:color w:val="auto"/>
          <w:szCs w:val="22"/>
          <w:u w:val="none"/>
        </w:rPr>
      </w:pPr>
      <w:r w:rsidRPr="00AC3D8A">
        <w:rPr>
          <w:rFonts w:asciiTheme="minorBidi" w:hAnsiTheme="minorBidi" w:cstheme="minorBidi"/>
          <w:snapToGrid/>
          <w:lang w:val="fr"/>
        </w:rPr>
        <w:lastRenderedPageBreak/>
        <w:t xml:space="preserve">Conformément à la résolution </w:t>
      </w:r>
      <w:hyperlink r:id="rId15" w:history="1">
        <w:r w:rsidRPr="00AC3D8A">
          <w:rPr>
            <w:rStyle w:val="Hyperlink"/>
            <w:rFonts w:asciiTheme="minorBidi" w:hAnsiTheme="minorBidi" w:cstheme="minorBidi"/>
            <w:snapToGrid/>
            <w:lang w:val="fr"/>
          </w:rPr>
          <w:t>CE-53/2</w:t>
        </w:r>
      </w:hyperlink>
      <w:r w:rsidRPr="00AC3D8A">
        <w:rPr>
          <w:rFonts w:asciiTheme="minorBidi" w:hAnsiTheme="minorBidi" w:cstheme="minorBidi"/>
          <w:snapToGrid/>
          <w:lang w:val="fr"/>
        </w:rPr>
        <w:t xml:space="preserve"> le Groupe consultatif financier intersessions (IFAG), à composition non limitée, a été reconstitué par le biais d'un appel à candidatures adressé aux États membres dans la </w:t>
      </w:r>
      <w:hyperlink r:id="rId16" w:history="1">
        <w:r w:rsidRPr="00AC3D8A">
          <w:rPr>
            <w:rStyle w:val="Hyperlink"/>
            <w:rFonts w:asciiTheme="minorBidi" w:hAnsiTheme="minorBidi" w:cstheme="minorBidi"/>
            <w:snapToGrid/>
            <w:lang w:val="fr"/>
          </w:rPr>
          <w:t>lettre circulaire 2837</w:t>
        </w:r>
      </w:hyperlink>
      <w:r w:rsidRPr="00AC3D8A">
        <w:rPr>
          <w:rFonts w:asciiTheme="minorBidi" w:hAnsiTheme="minorBidi" w:cstheme="minorBidi"/>
          <w:snapToGrid/>
          <w:lang w:val="fr"/>
        </w:rPr>
        <w:t xml:space="preserve"> de la COI du 18 mars 2021. Vingt-deux (22) États membres - </w:t>
      </w:r>
      <w:r w:rsidRPr="00AC3D8A">
        <w:rPr>
          <w:rStyle w:val="Hyperlink"/>
          <w:color w:val="auto"/>
          <w:u w:val="none"/>
          <w:lang w:val="fr"/>
        </w:rPr>
        <w:t>l'Argentine, l'Australie, le Bangladesh, la Belgique, le Bénin, le Brésil, le Canada, la Chine, l'Égypte, la France, l'Allemagne, le Japon, la Jordanie, le Koweït, Madagascar, la Norvège, les Philippines, le Portugal, la Fédération de Russie, la Turquie, le Royaume-Uni et les États-Unis - ont désigné des représentants pour constituer le noyau dur du Groupe, présidé par le vice-président de la COI, Karim Hilmi, du Maroc.</w:t>
      </w:r>
    </w:p>
    <w:p w14:paraId="4997DA86" w14:textId="77777777" w:rsidR="00927117" w:rsidRPr="00AC3D8A" w:rsidRDefault="00B14F11" w:rsidP="00AC3D8A">
      <w:pPr>
        <w:numPr>
          <w:ilvl w:val="0"/>
          <w:numId w:val="33"/>
        </w:numPr>
        <w:tabs>
          <w:tab w:val="clear" w:pos="567"/>
          <w:tab w:val="left" w:pos="709"/>
        </w:tabs>
        <w:spacing w:after="240"/>
        <w:ind w:left="0" w:firstLine="0"/>
        <w:jc w:val="both"/>
        <w:rPr>
          <w:rFonts w:asciiTheme="minorBidi" w:hAnsiTheme="minorBidi" w:cstheme="minorBidi"/>
          <w:snapToGrid/>
        </w:rPr>
      </w:pPr>
      <w:r w:rsidRPr="00AC3D8A">
        <w:rPr>
          <w:rFonts w:asciiTheme="minorBidi" w:hAnsiTheme="minorBidi" w:cstheme="minorBidi"/>
          <w:snapToGrid/>
          <w:lang w:val="fr"/>
        </w:rPr>
        <w:t>Comme de coutume, le groupe a commencé à travailler par correspondance et a finalisé ses conclusions lors d'une réunion en ligne le 10 juin 2021.</w:t>
      </w:r>
    </w:p>
    <w:p w14:paraId="61A71F8B" w14:textId="77777777" w:rsidR="001A2189" w:rsidRPr="00AC3D8A" w:rsidRDefault="00B14F11" w:rsidP="00AC3D8A">
      <w:pPr>
        <w:numPr>
          <w:ilvl w:val="0"/>
          <w:numId w:val="33"/>
        </w:numPr>
        <w:tabs>
          <w:tab w:val="clear" w:pos="567"/>
          <w:tab w:val="left" w:pos="709"/>
        </w:tabs>
        <w:spacing w:after="240"/>
        <w:ind w:left="0" w:firstLine="0"/>
        <w:jc w:val="both"/>
        <w:rPr>
          <w:rFonts w:asciiTheme="minorBidi" w:hAnsiTheme="minorBidi" w:cstheme="minorBidi"/>
          <w:snapToGrid/>
        </w:rPr>
      </w:pPr>
      <w:r w:rsidRPr="00AC3D8A">
        <w:rPr>
          <w:rFonts w:asciiTheme="minorBidi" w:hAnsiTheme="minorBidi"/>
          <w:snapToGrid/>
          <w:lang w:val="fr"/>
        </w:rPr>
        <w:t>En se concentrant, comme le Conseil exécutif l'a demandé lors de sa 53</w:t>
      </w:r>
      <w:r w:rsidRPr="00AC3D8A">
        <w:rPr>
          <w:rFonts w:asciiTheme="minorBidi" w:hAnsiTheme="minorBidi"/>
          <w:snapToGrid/>
          <w:vertAlign w:val="superscript"/>
          <w:lang w:val="fr"/>
        </w:rPr>
        <w:t>e</w:t>
      </w:r>
      <w:r w:rsidRPr="00AC3D8A">
        <w:rPr>
          <w:rFonts w:asciiTheme="minorBidi" w:hAnsiTheme="minorBidi"/>
          <w:snapToGrid/>
          <w:lang w:val="fr"/>
        </w:rPr>
        <w:t> session, sur les questions à traiter pour le projet de résolution </w:t>
      </w:r>
      <w:r w:rsidRPr="00AC3D8A">
        <w:rPr>
          <w:color w:val="000000"/>
          <w:szCs w:val="22"/>
          <w:u w:val="single"/>
          <w:lang w:val="fr"/>
        </w:rPr>
        <w:t>A-31/[4.4]</w:t>
      </w:r>
      <w:r w:rsidRPr="00AC3D8A">
        <w:rPr>
          <w:rFonts w:asciiTheme="minorBidi" w:hAnsiTheme="minorBidi"/>
          <w:snapToGrid/>
          <w:lang w:val="fr"/>
        </w:rPr>
        <w:t xml:space="preserve"> le Groupe a structuré ses discussions en quatre parties principales comme suit.</w:t>
      </w:r>
    </w:p>
    <w:p w14:paraId="637201AB" w14:textId="77777777" w:rsidR="005B34F3" w:rsidRPr="00AC3D8A" w:rsidRDefault="00B14F11" w:rsidP="00AC3D8A">
      <w:pPr>
        <w:pStyle w:val="ListParagraph"/>
        <w:numPr>
          <w:ilvl w:val="0"/>
          <w:numId w:val="30"/>
        </w:numPr>
        <w:tabs>
          <w:tab w:val="clear" w:pos="709"/>
          <w:tab w:val="left" w:pos="360"/>
        </w:tabs>
        <w:snapToGrid w:val="0"/>
        <w:spacing w:after="240"/>
        <w:contextualSpacing w:val="0"/>
        <w:jc w:val="center"/>
        <w:rPr>
          <w:rStyle w:val="Hyperlink"/>
          <w:rFonts w:asciiTheme="minorBidi" w:hAnsiTheme="minorBidi" w:cstheme="minorBidi"/>
          <w:b/>
          <w:iCs/>
          <w:color w:val="auto"/>
          <w:szCs w:val="22"/>
          <w:u w:val="none"/>
        </w:rPr>
      </w:pPr>
      <w:r w:rsidRPr="00AC3D8A">
        <w:rPr>
          <w:rFonts w:asciiTheme="minorBidi" w:eastAsia="Calibri" w:hAnsiTheme="minorBidi" w:cstheme="minorBidi"/>
          <w:b/>
          <w:bCs/>
          <w:sz w:val="22"/>
          <w:szCs w:val="22"/>
          <w:lang w:val="fr"/>
        </w:rPr>
        <w:t>Exécution du budget 2020-2021 au 31 décembre 2020 et Situation financière du Compte spécial de la COI à la fin de 2020 et prévisions pour 2021</w:t>
      </w:r>
    </w:p>
    <w:p w14:paraId="27B6E5B9" w14:textId="77777777" w:rsidR="00927117" w:rsidRPr="00AC3D8A" w:rsidRDefault="00B14F11" w:rsidP="00AC3D8A">
      <w:pPr>
        <w:numPr>
          <w:ilvl w:val="0"/>
          <w:numId w:val="33"/>
        </w:numPr>
        <w:tabs>
          <w:tab w:val="clear" w:pos="567"/>
          <w:tab w:val="left" w:pos="709"/>
        </w:tabs>
        <w:spacing w:after="240"/>
        <w:ind w:left="0" w:firstLine="0"/>
        <w:jc w:val="both"/>
        <w:rPr>
          <w:rStyle w:val="Hyperlink"/>
          <w:color w:val="auto"/>
          <w:u w:val="none"/>
        </w:rPr>
      </w:pPr>
      <w:r w:rsidRPr="00AC3D8A">
        <w:rPr>
          <w:rStyle w:val="Hyperlink"/>
          <w:color w:val="auto"/>
          <w:u w:val="none"/>
          <w:lang w:val="fr"/>
        </w:rPr>
        <w:t>Le Groupe a pris note de la modification de la présentation, les informations étant désormais organisées dans deux </w:t>
      </w:r>
      <w:r w:rsidRPr="00AC3D8A">
        <w:rPr>
          <w:rFonts w:asciiTheme="minorBidi" w:hAnsiTheme="minorBidi" w:cstheme="minorBidi"/>
          <w:snapToGrid/>
          <w:lang w:val="fr"/>
        </w:rPr>
        <w:t>documents</w:t>
      </w:r>
      <w:r w:rsidRPr="00AC3D8A">
        <w:rPr>
          <w:rStyle w:val="Hyperlink"/>
          <w:color w:val="auto"/>
          <w:u w:val="none"/>
          <w:lang w:val="fr"/>
        </w:rPr>
        <w:t xml:space="preserve"> - </w:t>
      </w:r>
      <w:hyperlink r:id="rId17" w:history="1">
        <w:r w:rsidRPr="00AC3D8A">
          <w:rPr>
            <w:rStyle w:val="Hyperlink"/>
            <w:rFonts w:asciiTheme="minorBidi" w:eastAsia="Calibri" w:hAnsiTheme="minorBidi" w:cstheme="minorBidi"/>
            <w:szCs w:val="22"/>
            <w:lang w:val="fr"/>
          </w:rPr>
          <w:t>IOC/A-31/3.2.Doc(2)</w:t>
        </w:r>
      </w:hyperlink>
      <w:r w:rsidRPr="00AC3D8A">
        <w:rPr>
          <w:rFonts w:asciiTheme="minorBidi" w:hAnsiTheme="minorBidi" w:cstheme="minorBidi"/>
          <w:szCs w:val="22"/>
          <w:lang w:val="fr"/>
        </w:rPr>
        <w:t xml:space="preserve"> et </w:t>
      </w:r>
      <w:hyperlink r:id="rId18" w:history="1">
        <w:r w:rsidRPr="00AC3D8A">
          <w:rPr>
            <w:rStyle w:val="Hyperlink"/>
            <w:rFonts w:asciiTheme="minorBidi" w:eastAsia="Calibri" w:hAnsiTheme="minorBidi" w:cstheme="minorBidi"/>
            <w:szCs w:val="22"/>
            <w:lang w:val="fr"/>
          </w:rPr>
          <w:t xml:space="preserve">IOC/A-31/3.2.Doc(3) </w:t>
        </w:r>
      </w:hyperlink>
      <w:r w:rsidRPr="00AC3D8A">
        <w:rPr>
          <w:rFonts w:asciiTheme="minorBidi" w:hAnsiTheme="minorBidi" w:cstheme="minorBidi"/>
          <w:szCs w:val="22"/>
          <w:lang w:val="fr"/>
        </w:rPr>
        <w:t>- afin</w:t>
      </w:r>
      <w:r w:rsidRPr="00AC3D8A">
        <w:rPr>
          <w:rStyle w:val="Hyperlink"/>
          <w:color w:val="auto"/>
          <w:u w:val="none"/>
          <w:lang w:val="fr"/>
        </w:rPr>
        <w:t xml:space="preserve">de mieux s'aligner sur l'approche adoptée par l'UNESCO dans ses rapports sur la gestion financière. </w:t>
      </w:r>
    </w:p>
    <w:p w14:paraId="2E97B390" w14:textId="77777777" w:rsidR="00BA799E" w:rsidRPr="00AC3D8A" w:rsidRDefault="00B14F11" w:rsidP="00AC3D8A">
      <w:pPr>
        <w:numPr>
          <w:ilvl w:val="0"/>
          <w:numId w:val="33"/>
        </w:numPr>
        <w:tabs>
          <w:tab w:val="clear" w:pos="567"/>
          <w:tab w:val="left" w:pos="709"/>
        </w:tabs>
        <w:spacing w:after="240"/>
        <w:ind w:left="0" w:firstLine="0"/>
        <w:jc w:val="both"/>
        <w:rPr>
          <w:rFonts w:asciiTheme="minorBidi" w:eastAsia="Calibri" w:hAnsiTheme="minorBidi" w:cstheme="minorBidi"/>
          <w:b/>
          <w:szCs w:val="22"/>
        </w:rPr>
      </w:pPr>
      <w:r w:rsidRPr="00AC3D8A">
        <w:rPr>
          <w:rFonts w:asciiTheme="minorBidi" w:eastAsia="Calibri" w:hAnsiTheme="minorBidi" w:cstheme="minorBidi"/>
          <w:szCs w:val="22"/>
          <w:lang w:val="fr"/>
        </w:rPr>
        <w:t>Constatant un taux de mise en œuvre légèrement inférieur à la normale au cours de la première année de l'exercice biennal 2020-2021, en raison des conditions de travail liées à la pandémie de COVID-19, le Groupe consultatif financier intersessions a pris note de l'intention du Secrétariat de mettre pleinement en œuvre le programme de travail biennal d'ici la fin de 2021.</w:t>
      </w:r>
    </w:p>
    <w:p w14:paraId="0CD06E7D" w14:textId="77777777" w:rsidR="00BA799E" w:rsidRPr="00AC3D8A" w:rsidRDefault="00B14F11" w:rsidP="00AC3D8A">
      <w:pPr>
        <w:numPr>
          <w:ilvl w:val="0"/>
          <w:numId w:val="33"/>
        </w:numPr>
        <w:tabs>
          <w:tab w:val="clear" w:pos="567"/>
          <w:tab w:val="left" w:pos="709"/>
        </w:tabs>
        <w:spacing w:after="240"/>
        <w:ind w:left="0" w:firstLine="0"/>
        <w:jc w:val="both"/>
        <w:rPr>
          <w:rStyle w:val="Hyperlink"/>
          <w:i/>
          <w:color w:val="auto"/>
          <w:u w:val="none"/>
        </w:rPr>
      </w:pPr>
      <w:r w:rsidRPr="00AC3D8A">
        <w:rPr>
          <w:rFonts w:asciiTheme="minorBidi" w:hAnsiTheme="minorBidi" w:cstheme="minorBidi"/>
          <w:snapToGrid/>
          <w:lang w:val="fr"/>
        </w:rPr>
        <w:t xml:space="preserve">Le </w:t>
      </w:r>
      <w:r w:rsidRPr="00AC3D8A">
        <w:rPr>
          <w:rFonts w:asciiTheme="minorBidi" w:hAnsiTheme="minorBidi" w:cstheme="minorBidi"/>
          <w:szCs w:val="22"/>
          <w:lang w:val="fr"/>
        </w:rPr>
        <w:t xml:space="preserve"> Groupe a constaté avec satisfaction que les objectifs de mobilisation de ressources extrabudgétaires fixés pour l'exercice 2020-2021 ont été atteints à hauteur de 76 % dans l'ensemble, mais avec des écarts considérables entre les fonctions de la Commission.</w:t>
      </w:r>
    </w:p>
    <w:p w14:paraId="332B565A" w14:textId="77777777" w:rsidR="005B34F3" w:rsidRPr="00AC3D8A" w:rsidRDefault="00B14F11" w:rsidP="00AC3D8A">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AC3D8A">
        <w:rPr>
          <w:rFonts w:asciiTheme="minorBidi" w:eastAsia="Calibri" w:hAnsiTheme="minorBidi" w:cstheme="minorBidi"/>
          <w:b/>
          <w:bCs/>
          <w:sz w:val="22"/>
          <w:szCs w:val="22"/>
          <w:lang w:val="fr"/>
        </w:rPr>
        <w:t xml:space="preserve">Projet de stratégie à moyen terme pour 2022-2029 et </w:t>
      </w:r>
    </w:p>
    <w:p w14:paraId="209C833A" w14:textId="77777777" w:rsidR="009F394A" w:rsidRPr="00AC3D8A" w:rsidRDefault="00B14F11" w:rsidP="00AC3D8A">
      <w:pPr>
        <w:numPr>
          <w:ilvl w:val="0"/>
          <w:numId w:val="33"/>
        </w:numPr>
        <w:tabs>
          <w:tab w:val="clear" w:pos="567"/>
          <w:tab w:val="left" w:pos="709"/>
        </w:tabs>
        <w:spacing w:after="240"/>
        <w:ind w:left="0" w:firstLine="0"/>
        <w:jc w:val="both"/>
        <w:rPr>
          <w:rFonts w:asciiTheme="minorBidi" w:eastAsia="Calibri" w:hAnsiTheme="minorBidi" w:cstheme="minorBidi"/>
          <w:i/>
          <w:szCs w:val="22"/>
        </w:rPr>
      </w:pPr>
      <w:r w:rsidRPr="00AC3D8A">
        <w:rPr>
          <w:rFonts w:asciiTheme="minorBidi" w:hAnsiTheme="minorBidi" w:cstheme="minorBidi"/>
          <w:snapToGrid/>
          <w:lang w:val="fr"/>
        </w:rPr>
        <w:t>Le Groupe consultatif financier intersessions</w:t>
      </w:r>
      <w:r w:rsidRPr="00AC3D8A">
        <w:rPr>
          <w:rStyle w:val="Hyperlink"/>
          <w:color w:val="auto"/>
          <w:u w:val="none"/>
          <w:lang w:val="fr"/>
        </w:rPr>
        <w:t xml:space="preserve"> a accueilli favorablement la version révisée du projet de Stratégie à moyen terme pour 2022-2029 présentée dans le document intitulé </w:t>
      </w:r>
      <w:hyperlink r:id="rId19" w:history="1">
        <w:r w:rsidRPr="00AC3D8A">
          <w:rPr>
            <w:rStyle w:val="Hyperlink"/>
            <w:rFonts w:asciiTheme="minorBidi" w:eastAsia="Calibri" w:hAnsiTheme="minorBidi" w:cstheme="minorBidi"/>
            <w:szCs w:val="22"/>
            <w:lang w:val="fr"/>
          </w:rPr>
          <w:t>IOC/A-31/4.1.Doc(1)</w:t>
        </w:r>
      </w:hyperlink>
      <w:r w:rsidRPr="00AC3D8A">
        <w:rPr>
          <w:rFonts w:asciiTheme="minorBidi" w:hAnsiTheme="minorBidi" w:cstheme="minorBidi"/>
          <w:szCs w:val="22"/>
          <w:lang w:val="fr"/>
        </w:rPr>
        <w:t xml:space="preserve">, car elle est conforme aux recommandations formulées par le Conseil exécutif de la COI dans sa </w:t>
      </w:r>
      <w:hyperlink r:id="rId20" w:history="1">
        <w:r w:rsidRPr="00AC3D8A">
          <w:rPr>
            <w:rStyle w:val="Hyperlink"/>
            <w:rFonts w:asciiTheme="minorBidi" w:eastAsia="Calibri" w:hAnsiTheme="minorBidi" w:cstheme="minorBidi"/>
            <w:szCs w:val="22"/>
            <w:lang w:val="fr"/>
          </w:rPr>
          <w:t>résolution EC-53/2</w:t>
        </w:r>
      </w:hyperlink>
      <w:r w:rsidRPr="00AC3D8A">
        <w:rPr>
          <w:rFonts w:asciiTheme="minorBidi" w:hAnsiTheme="minorBidi" w:cstheme="minorBidi"/>
          <w:szCs w:val="22"/>
          <w:lang w:val="fr"/>
        </w:rPr>
        <w:t xml:space="preserve">. En préparant les débats à l'Assemblée, les membres du Groupe consultatif financier intersessions ont estimé que des améliorations supplémentaires pourraient être envisagées. Plusieurs États membres se sont engagés à envoyer au Secrétariat leurs propositions de révision et leurs commentaires en vue de préparer un document consolidé révisé pour examen par le Comité financier de session. </w:t>
      </w:r>
    </w:p>
    <w:p w14:paraId="2F631B51" w14:textId="77777777" w:rsidR="00927117" w:rsidRPr="00AC3D8A" w:rsidRDefault="00B14F11" w:rsidP="00AC3D8A">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 w:val="22"/>
          <w:szCs w:val="22"/>
        </w:rPr>
      </w:pPr>
      <w:r w:rsidRPr="00AC3D8A">
        <w:rPr>
          <w:rFonts w:asciiTheme="minorBidi" w:eastAsia="Calibri" w:hAnsiTheme="minorBidi" w:cstheme="minorBidi"/>
          <w:b/>
          <w:bCs/>
          <w:sz w:val="22"/>
          <w:szCs w:val="22"/>
          <w:lang w:val="fr"/>
        </w:rPr>
        <w:t>Projet de programme et de budget pour 2022-2025</w:t>
      </w:r>
    </w:p>
    <w:p w14:paraId="2FB9DE1A" w14:textId="095E4864" w:rsidR="00DD516F" w:rsidRPr="00DD516F" w:rsidRDefault="00B14F11" w:rsidP="00DD516F">
      <w:pPr>
        <w:numPr>
          <w:ilvl w:val="0"/>
          <w:numId w:val="33"/>
        </w:numPr>
        <w:tabs>
          <w:tab w:val="clear" w:pos="567"/>
          <w:tab w:val="left" w:pos="709"/>
        </w:tabs>
        <w:snapToGrid/>
        <w:spacing w:after="240"/>
        <w:ind w:left="0" w:firstLine="0"/>
        <w:jc w:val="both"/>
        <w:rPr>
          <w:rFonts w:asciiTheme="minorBidi" w:hAnsiTheme="minorBidi" w:cstheme="minorBidi"/>
          <w:szCs w:val="22"/>
          <w:lang w:val="fr"/>
        </w:rPr>
      </w:pPr>
      <w:r w:rsidRPr="00DD516F">
        <w:rPr>
          <w:rFonts w:asciiTheme="minorBidi" w:hAnsiTheme="minorBidi" w:cstheme="minorBidi"/>
          <w:szCs w:val="22"/>
          <w:lang w:val="fr"/>
        </w:rPr>
        <w:t xml:space="preserve">En ce qui concerne le Projet de programme et de budget pour 2022-2025, et les propositions budgétaires pour le premier </w:t>
      </w:r>
      <w:r w:rsidRPr="00DD516F">
        <w:rPr>
          <w:rFonts w:asciiTheme="minorBidi" w:hAnsiTheme="minorBidi" w:cstheme="minorBidi"/>
          <w:snapToGrid/>
          <w:lang w:val="fr"/>
        </w:rPr>
        <w:t>exercice biennal</w:t>
      </w:r>
      <w:r w:rsidRPr="00DD516F">
        <w:rPr>
          <w:rFonts w:asciiTheme="minorBidi" w:hAnsiTheme="minorBidi" w:cstheme="minorBidi"/>
          <w:szCs w:val="22"/>
          <w:lang w:val="fr"/>
        </w:rPr>
        <w:t> 2022-2023 présentées dans le document </w:t>
      </w:r>
      <w:hyperlink r:id="rId21" w:history="1">
        <w:r w:rsidRPr="00DD516F">
          <w:rPr>
            <w:rStyle w:val="Hyperlink"/>
            <w:rFonts w:asciiTheme="minorBidi" w:eastAsia="Calibri" w:hAnsiTheme="minorBidi" w:cstheme="minorBidi"/>
            <w:szCs w:val="22"/>
            <w:lang w:val="fr"/>
          </w:rPr>
          <w:t>IOC/A-31/4.2.Doc</w:t>
        </w:r>
      </w:hyperlink>
      <w:r w:rsidRPr="00DD516F">
        <w:rPr>
          <w:rFonts w:asciiTheme="minorBidi" w:hAnsiTheme="minorBidi" w:cstheme="minorBidi"/>
          <w:szCs w:val="22"/>
          <w:lang w:val="fr"/>
        </w:rPr>
        <w:t xml:space="preserve">, le Groupe a estimé qu'ils étaient globalement conformes aux principes directeurs énoncés dans la résolution EC-53/2 et aux objectifs de haut niveau définis dans le projet de stratégie à moyen terme de la COI pour 2022-2029. En plus de partager la préoccupation concernant la diminution du budget du programme ordinaire alloué aux </w:t>
      </w:r>
      <w:proofErr w:type="gramStart"/>
      <w:r w:rsidRPr="00DD516F">
        <w:rPr>
          <w:rFonts w:asciiTheme="minorBidi" w:hAnsiTheme="minorBidi" w:cstheme="minorBidi"/>
          <w:szCs w:val="22"/>
          <w:lang w:val="fr"/>
        </w:rPr>
        <w:t>opérations,le</w:t>
      </w:r>
      <w:proofErr w:type="gramEnd"/>
      <w:r w:rsidRPr="00DD516F">
        <w:rPr>
          <w:rFonts w:asciiTheme="minorBidi" w:hAnsiTheme="minorBidi" w:cstheme="minorBidi"/>
          <w:szCs w:val="22"/>
          <w:lang w:val="fr"/>
        </w:rPr>
        <w:t xml:space="preserve"> Groupe s'est dit préoccupé par l'ambition des ressources à fournir, en particulier en ce qui concerne la nécessité de créer une unité de coordination de la Décennie efficace, efficiente et financée de manière durable.</w:t>
      </w:r>
      <w:r w:rsidR="00DD516F" w:rsidRPr="00DD516F">
        <w:rPr>
          <w:rFonts w:asciiTheme="minorBidi" w:hAnsiTheme="minorBidi" w:cstheme="minorBidi"/>
          <w:szCs w:val="22"/>
          <w:lang w:val="fr"/>
        </w:rPr>
        <w:br w:type="page"/>
      </w:r>
    </w:p>
    <w:p w14:paraId="596FAC0F" w14:textId="77777777" w:rsidR="005B34F3" w:rsidRPr="00AC3D8A" w:rsidRDefault="005B34F3" w:rsidP="00DD516F">
      <w:pPr>
        <w:tabs>
          <w:tab w:val="clear" w:pos="567"/>
          <w:tab w:val="left" w:pos="709"/>
        </w:tabs>
        <w:spacing w:after="240"/>
        <w:jc w:val="both"/>
        <w:rPr>
          <w:rFonts w:asciiTheme="minorBidi" w:eastAsia="Calibri" w:hAnsiTheme="minorBidi" w:cstheme="minorBidi"/>
          <w:szCs w:val="22"/>
        </w:rPr>
      </w:pPr>
    </w:p>
    <w:p w14:paraId="2C55CB70" w14:textId="77777777" w:rsidR="001A2189" w:rsidRPr="00AC3D8A" w:rsidRDefault="00B14F11" w:rsidP="00AC3D8A">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AC3D8A">
        <w:rPr>
          <w:rFonts w:asciiTheme="minorBidi" w:eastAsia="Calibri" w:hAnsiTheme="minorBidi" w:cstheme="minorBidi"/>
          <w:b/>
          <w:bCs/>
          <w:sz w:val="22"/>
          <w:szCs w:val="22"/>
          <w:lang w:val="fr"/>
        </w:rPr>
        <w:t>Gouvernance et méthodes de travail</w:t>
      </w:r>
    </w:p>
    <w:p w14:paraId="726A5B4E" w14:textId="77777777" w:rsidR="00327B2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lang w:val="fr"/>
        </w:rPr>
        <w:t xml:space="preserve">Au cours de la période intersessions qui a précédé la réunion en ligne du 10 juin 2021, le </w:t>
      </w:r>
      <w:r w:rsidRPr="00AC3D8A">
        <w:rPr>
          <w:rFonts w:asciiTheme="minorBidi" w:hAnsiTheme="minorBidi"/>
          <w:snapToGrid/>
          <w:lang w:val="fr"/>
        </w:rPr>
        <w:t>Groupe</w:t>
      </w:r>
      <w:r w:rsidRPr="00AC3D8A">
        <w:rPr>
          <w:lang w:val="fr"/>
        </w:rPr>
        <w:t xml:space="preserve"> s'est principalement concentré sur la question de la mise à jour du règlement intérieur afin de « </w:t>
      </w:r>
      <w:r w:rsidRPr="00AC3D8A">
        <w:rPr>
          <w:i/>
          <w:iCs/>
          <w:szCs w:val="22"/>
          <w:lang w:val="fr"/>
        </w:rPr>
        <w:t>l'aligner et de l'adapter aux meilleures pratiques des Nations Unies en vigueur concernant les réunions en ligne, afin de faciliter la prise de décision en connaissance de cause et en temps utile par les États membres de la COI </w:t>
      </w:r>
      <w:r w:rsidRPr="00AC3D8A">
        <w:rPr>
          <w:szCs w:val="22"/>
          <w:lang w:val="fr"/>
        </w:rPr>
        <w:t>»</w:t>
      </w:r>
      <w:r w:rsidRPr="00AC3D8A">
        <w:rPr>
          <w:lang w:val="fr"/>
        </w:rPr>
        <w:t>. Dans ce contexte, les informations suivantes ont été fournies par le Secrétariat, en consultation avec le Conseiller juridique de l'UNESCO.</w:t>
      </w:r>
    </w:p>
    <w:p w14:paraId="753DB472"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cstheme="minorHAnsi"/>
          <w:lang w:val="fr"/>
        </w:rPr>
        <w:t xml:space="preserve">Le </w:t>
      </w:r>
      <w:hyperlink r:id="rId22" w:history="1">
        <w:r w:rsidRPr="00AC3D8A">
          <w:rPr>
            <w:rStyle w:val="Hyperlink"/>
            <w:rFonts w:cstheme="minorHAnsi"/>
            <w:lang w:val="fr"/>
          </w:rPr>
          <w:t>règlement intérieur de la COI</w:t>
        </w:r>
      </w:hyperlink>
      <w:r w:rsidRPr="00AC3D8A">
        <w:rPr>
          <w:rFonts w:cstheme="minorHAnsi"/>
          <w:lang w:val="fr"/>
        </w:rPr>
        <w:t xml:space="preserve"> ne contient aucune clause concernant les sessions par vidéoconférence, mais il n'exige pas non plus explicitement la présence physique des membres et n'interdit donc pas en tant que telle la tenue d'une session par des moyens virtuels. </w:t>
      </w:r>
    </w:p>
    <w:p w14:paraId="5B407605"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asciiTheme="minorBidi" w:hAnsiTheme="minorBidi"/>
          <w:snapToGrid/>
          <w:lang w:val="fr"/>
        </w:rPr>
        <w:t>Cependant</w:t>
      </w:r>
      <w:r w:rsidRPr="00AC3D8A">
        <w:rPr>
          <w:lang w:val="fr"/>
        </w:rPr>
        <w:t xml:space="preserve">, certains articles sont rédigés d'une manière qui suggère la tenue d'une session avec la présence physique des membres - par exemple, le vote au scrutin secret pour l'élection des membres du Conseil exécutif et du bureau de la COI, pour lequel aucune technologie n'est actuellement disponible. </w:t>
      </w:r>
    </w:p>
    <w:p w14:paraId="52FC7A5A"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asciiTheme="minorBidi" w:hAnsiTheme="minorBidi"/>
          <w:snapToGrid/>
          <w:lang w:val="fr"/>
        </w:rPr>
        <w:t>Il</w:t>
      </w:r>
      <w:r w:rsidRPr="00AC3D8A">
        <w:rPr>
          <w:lang w:val="fr"/>
        </w:rPr>
        <w:t xml:space="preserve"> convient de noter que les organes directeurs de l'UNESCO n'ont pas modifié leur règlement intérieur pour tenir compte de la question spécifique des réunions en ligne, bien que le Conseil exécutif se soit déjà réuni plusieurs fois en ligne. Cependant, le Conseil exécutif, lors de sa 209</w:t>
      </w:r>
      <w:r w:rsidRPr="00AC3D8A">
        <w:rPr>
          <w:vertAlign w:val="superscript"/>
          <w:lang w:val="fr"/>
        </w:rPr>
        <w:t>e</w:t>
      </w:r>
      <w:r w:rsidRPr="00AC3D8A">
        <w:rPr>
          <w:lang w:val="fr"/>
        </w:rPr>
        <w:t> session, a adopté des recommandations sur les méthodes de travail d'une session virtuelle (</w:t>
      </w:r>
      <w:hyperlink r:id="rId23" w:anchor="page=43" w:history="1">
        <w:r w:rsidRPr="00AC3D8A">
          <w:rPr>
            <w:rStyle w:val="Hyperlink"/>
            <w:rFonts w:cstheme="minorHAnsi"/>
            <w:lang w:val="fr"/>
          </w:rPr>
          <w:t>209 EX/ Décision 30</w:t>
        </w:r>
      </w:hyperlink>
      <w:r w:rsidRPr="00AC3D8A">
        <w:rPr>
          <w:lang w:val="fr"/>
        </w:rPr>
        <w:t>). La COI pourrait donc envisager une approche similaire.</w:t>
      </w:r>
    </w:p>
    <w:p w14:paraId="3AEEB50C"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cstheme="minorHAnsi"/>
          <w:lang w:val="fr"/>
        </w:rPr>
        <w:t>En outre, la version initiale du projet de résolution EC-53/2 proposé dans le document relatif aux décisions à adopter de la cinquante-troisième session du Conseil exécutif (</w:t>
      </w:r>
      <w:hyperlink r:id="rId24" w:history="1">
        <w:r w:rsidRPr="00AC3D8A">
          <w:rPr>
            <w:rStyle w:val="Hyperlink"/>
            <w:rFonts w:cstheme="minorHAnsi"/>
            <w:lang w:val="fr"/>
          </w:rPr>
          <w:t>Add. et Corr.</w:t>
        </w:r>
      </w:hyperlink>
      <w:r w:rsidRPr="00AC3D8A">
        <w:rPr>
          <w:rFonts w:cstheme="minorHAnsi"/>
          <w:lang w:val="fr"/>
        </w:rPr>
        <w:t>) indiquait ceci : « ...</w:t>
      </w:r>
      <w:r w:rsidRPr="00AC3D8A">
        <w:rPr>
          <w:rFonts w:cstheme="minorHAnsi"/>
          <w:i/>
          <w:iCs/>
          <w:lang w:val="fr"/>
        </w:rPr>
        <w:t xml:space="preserve">la pandémie de Covid-19 a mis en évidence la nécessité de revoir et éventuellement d'actualiser le Règlement intérieur de la Commission afin de l'aligner sur les bonnes pratiques en vigueur aux Nations Unies, de manière à faciliter la prise de décisions éclairées et opportunes par les États membres de la COI » </w:t>
      </w:r>
      <w:r w:rsidRPr="00AC3D8A">
        <w:rPr>
          <w:rFonts w:cstheme="minorHAnsi"/>
          <w:lang w:val="fr"/>
        </w:rPr>
        <w:t>et l'intention était de proposer une révision plus approfondie du Règlement intérieur</w:t>
      </w:r>
      <w:r w:rsidRPr="00AC3D8A">
        <w:rPr>
          <w:rFonts w:cstheme="minorHAnsi"/>
          <w:i/>
          <w:iCs/>
          <w:lang w:val="fr"/>
        </w:rPr>
        <w:t xml:space="preserve">. </w:t>
      </w:r>
      <w:r w:rsidRPr="00AC3D8A">
        <w:rPr>
          <w:rFonts w:cstheme="minorHAnsi"/>
          <w:lang w:val="fr"/>
        </w:rPr>
        <w:t xml:space="preserve">Il existe un certain nombre de questions relatives au </w:t>
      </w:r>
      <w:hyperlink r:id="rId25" w:history="1">
        <w:r w:rsidRPr="00AC3D8A">
          <w:rPr>
            <w:rStyle w:val="Hyperlink"/>
            <w:rFonts w:cstheme="minorHAnsi"/>
            <w:lang w:val="fr"/>
          </w:rPr>
          <w:t>Règlement intérieur</w:t>
        </w:r>
      </w:hyperlink>
      <w:r w:rsidRPr="00AC3D8A">
        <w:rPr>
          <w:rFonts w:cstheme="minorHAnsi"/>
          <w:lang w:val="fr"/>
        </w:rPr>
        <w:t xml:space="preserve"> actuel qui pourraient bénéficier d'une révision/clarification, comme expliqué ci-dessous. Les exemples fournis ne sont pas exhaustifs.</w:t>
      </w:r>
    </w:p>
    <w:p w14:paraId="72A46BD7"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cstheme="minorHAnsi"/>
          <w:lang w:val="fr"/>
        </w:rPr>
        <w:t>Premièrement, contrairement à d'autres Règlements intérieurs, la COI dispose d'un seul règlement qui s'applique à la fois à l'Assemblée et au Conseil exécutif. En conséquence, l'Assemblée et le Conseil exécutif ne disposent pas de procédures distinctes qui s'appliquent à chacun d'eux et que chacun de ces organes peut modifier ou suspendre. En particulier, la version anglaise de l'</w:t>
      </w:r>
      <w:hyperlink r:id="rId26" w:history="1">
        <w:r w:rsidRPr="00AC3D8A">
          <w:rPr>
            <w:rStyle w:val="Hyperlink"/>
            <w:rFonts w:cstheme="minorHAnsi"/>
            <w:lang w:val="fr"/>
          </w:rPr>
          <w:t>article 56</w:t>
        </w:r>
      </w:hyperlink>
      <w:r w:rsidRPr="00AC3D8A">
        <w:rPr>
          <w:rFonts w:cstheme="minorHAnsi"/>
          <w:lang w:val="fr"/>
        </w:rPr>
        <w:t xml:space="preserve"> prévoit que le Règlement « </w:t>
      </w:r>
      <w:r w:rsidRPr="00AC3D8A">
        <w:rPr>
          <w:rFonts w:cstheme="minorHAnsi"/>
          <w:i/>
          <w:iCs/>
          <w:lang w:val="fr"/>
        </w:rPr>
        <w:t>ne peut être suspendu que par une décision adoptée à la majorité de tous les États membres de la Commission présents et votants </w:t>
      </w:r>
      <w:r w:rsidRPr="00AC3D8A">
        <w:rPr>
          <w:rFonts w:cstheme="minorHAnsi"/>
          <w:lang w:val="fr"/>
        </w:rPr>
        <w:t>» (« </w:t>
      </w:r>
      <w:r w:rsidRPr="00AC3D8A">
        <w:rPr>
          <w:rFonts w:cstheme="minorHAnsi"/>
          <w:i/>
          <w:iCs/>
          <w:lang w:val="fr"/>
        </w:rPr>
        <w:t>may be suspended only by a decision adopted by a majority of all Member States of the Commission present and voting »).</w:t>
      </w:r>
      <w:r w:rsidRPr="00AC3D8A">
        <w:rPr>
          <w:rFonts w:cstheme="minorHAnsi"/>
          <w:lang w:val="fr"/>
        </w:rPr>
        <w:t xml:space="preserve"> Le seul organe composé de tous les États membres de la Commission est l'Assemblée et, par conséquent, bien que cela ne soit pas explicitement indiqué dans le Règlement intérieur en anglais, il semblerait que seule l'Assemblée puisse suspendre le Règlement intérieur.</w:t>
      </w:r>
    </w:p>
    <w:p w14:paraId="28CA192F"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asciiTheme="minorBidi" w:hAnsiTheme="minorBidi"/>
          <w:snapToGrid/>
          <w:lang w:val="fr"/>
        </w:rPr>
        <w:t>Deuxièmement</w:t>
      </w:r>
      <w:r w:rsidRPr="00AC3D8A">
        <w:rPr>
          <w:lang w:val="fr"/>
        </w:rPr>
        <w:t>, il existe un certain nombre de divergences entre les versions linguistiques du Règlement intérieur. Par exemple, alors que la version anglaise de l'article 56 prévoit que « </w:t>
      </w:r>
      <w:r w:rsidRPr="00AC3D8A">
        <w:rPr>
          <w:i/>
          <w:iCs/>
          <w:lang w:val="fr"/>
        </w:rPr>
        <w:t>[a]ny of these Rules may be suspended only by a decision adopted by a majority of all Member States of the Commission present and voting »</w:t>
      </w:r>
      <w:r w:rsidRPr="00AC3D8A">
        <w:rPr>
          <w:lang w:val="fr"/>
        </w:rPr>
        <w:t xml:space="preserve">, la </w:t>
      </w:r>
      <w:hyperlink r:id="rId27" w:history="1">
        <w:r w:rsidRPr="00AC3D8A">
          <w:rPr>
            <w:rStyle w:val="Hyperlink"/>
            <w:rFonts w:cstheme="minorHAnsi"/>
            <w:lang w:val="fr"/>
          </w:rPr>
          <w:t>Version française</w:t>
        </w:r>
      </w:hyperlink>
      <w:r w:rsidRPr="00AC3D8A">
        <w:rPr>
          <w:lang w:val="fr"/>
        </w:rPr>
        <w:t xml:space="preserve"> de l'article 56 fait explicitement référence à une décision de l'Assemblée (« </w:t>
      </w:r>
      <w:r w:rsidRPr="00AC3D8A">
        <w:rPr>
          <w:i/>
          <w:iCs/>
          <w:lang w:val="fr"/>
        </w:rPr>
        <w:t>L'application de l'un quelconque des articles du présent Règlement ne peut être suspendue que par décision de l'Assemblée, adoptée à la majorité de tous les États membres de la Commission présents et votants »</w:t>
      </w:r>
      <w:r w:rsidRPr="00AC3D8A">
        <w:rPr>
          <w:lang w:val="fr"/>
        </w:rPr>
        <w:t xml:space="preserve">). Les versions espagnole et russe suivent la version anglaise sur ce point. Un autre exemple concerne </w:t>
      </w:r>
      <w:hyperlink r:id="rId28" w:history="1">
        <w:r w:rsidRPr="00AC3D8A">
          <w:rPr>
            <w:rStyle w:val="Hyperlink"/>
            <w:rFonts w:cstheme="minorHAnsi"/>
            <w:lang w:val="fr"/>
          </w:rPr>
          <w:t>l'article 19.3</w:t>
        </w:r>
      </w:hyperlink>
      <w:r w:rsidRPr="00AC3D8A">
        <w:rPr>
          <w:lang w:val="fr"/>
        </w:rPr>
        <w:t xml:space="preserve"> sur la convocation des sessions extraordinaires du Conseil exécutif. Alors que la version anglaise précise que « </w:t>
      </w:r>
      <w:r w:rsidRPr="00AC3D8A">
        <w:rPr>
          <w:i/>
          <w:iCs/>
          <w:lang w:val="fr"/>
        </w:rPr>
        <w:t xml:space="preserve">[l]es </w:t>
      </w:r>
      <w:r w:rsidRPr="00AC3D8A">
        <w:rPr>
          <w:i/>
          <w:iCs/>
          <w:lang w:val="fr"/>
        </w:rPr>
        <w:lastRenderedPageBreak/>
        <w:t>sessions extraordinaires peuvent être convoquées par décision du Conseil exécutif lui-même, ou à la demande d'un tiers de ses membres, ou du Bureau de la Commission présentée au Secrétaire exécutif quatre mois au moins avant la date proposée » (« [e]xtraordinary sessions may be convened by a decision of the Executive Council, or of one-third of its members, or at the request of the Ofﬁcers of the Commission who have submitted such a request to the Executive Secretary at least four months before the proposed date »,</w:t>
      </w:r>
      <w:r w:rsidRPr="00AC3D8A">
        <w:rPr>
          <w:lang w:val="fr"/>
        </w:rPr>
        <w:t xml:space="preserve"> la </w:t>
      </w:r>
      <w:hyperlink r:id="rId29" w:history="1">
        <w:r w:rsidRPr="00AC3D8A">
          <w:rPr>
            <w:rStyle w:val="Hyperlink"/>
            <w:rFonts w:cstheme="minorHAnsi"/>
            <w:lang w:val="fr"/>
          </w:rPr>
          <w:t>version française</w:t>
        </w:r>
      </w:hyperlink>
      <w:r w:rsidRPr="00AC3D8A">
        <w:rPr>
          <w:lang w:val="fr"/>
        </w:rPr>
        <w:t xml:space="preserve"> ne fait pas référence à la possibilité de convoquer une session à la demande d'un tiers des membres du Conseil.</w:t>
      </w:r>
    </w:p>
    <w:p w14:paraId="6C34E023" w14:textId="77777777" w:rsidR="00A3408F" w:rsidRPr="00AC3D8A" w:rsidRDefault="00B14F11" w:rsidP="00AC3D8A">
      <w:pPr>
        <w:numPr>
          <w:ilvl w:val="0"/>
          <w:numId w:val="33"/>
        </w:numPr>
        <w:tabs>
          <w:tab w:val="clear" w:pos="567"/>
          <w:tab w:val="left" w:pos="709"/>
        </w:tabs>
        <w:spacing w:after="240"/>
        <w:ind w:left="0" w:firstLine="0"/>
        <w:jc w:val="both"/>
      </w:pPr>
      <w:r w:rsidRPr="00AC3D8A">
        <w:rPr>
          <w:lang w:val="fr"/>
        </w:rPr>
        <w:t xml:space="preserve">Troisièmement </w:t>
      </w:r>
      <w:r w:rsidRPr="00AC3D8A">
        <w:rPr>
          <w:rFonts w:asciiTheme="minorBidi" w:hAnsiTheme="minorBidi"/>
          <w:snapToGrid/>
          <w:lang w:val="fr"/>
        </w:rPr>
        <w:t>,</w:t>
      </w:r>
      <w:r w:rsidRPr="00AC3D8A">
        <w:rPr>
          <w:lang w:val="fr"/>
        </w:rPr>
        <w:t xml:space="preserve"> certains articles pourraient être davantage clarifiés ou élaborés. Par exemple, alors que l'</w:t>
      </w:r>
      <w:hyperlink r:id="rId30" w:history="1">
        <w:r w:rsidRPr="00AC3D8A">
          <w:rPr>
            <w:rStyle w:val="Hyperlink"/>
            <w:rFonts w:cstheme="minorHAnsi"/>
            <w:lang w:val="fr"/>
          </w:rPr>
          <w:t>article 19.2</w:t>
        </w:r>
      </w:hyperlink>
      <w:r w:rsidRPr="00AC3D8A">
        <w:rPr>
          <w:lang w:val="fr"/>
        </w:rPr>
        <w:t xml:space="preserve"> du Règlement intérieur prévoit que la date et le lieu des sessions ordinaires du Conseil exécutif doivent être déterminés par le Conseil exécutif, il ne prévoit aucune procédure spécifique et simplifiée pour modifier la date de la session, contrairement au Règlement intérieur du Conseil exécutif de l'UNESCO qui permet au Président de modifier la date si nécessaire. Un autre exemple concerne </w:t>
      </w:r>
      <w:hyperlink r:id="rId31" w:history="1">
        <w:r w:rsidRPr="00AC3D8A">
          <w:rPr>
            <w:rStyle w:val="Hyperlink"/>
            <w:rFonts w:cstheme="minorHAnsi"/>
            <w:lang w:val="fr"/>
          </w:rPr>
          <w:t>l'article 23</w:t>
        </w:r>
      </w:hyperlink>
      <w:r w:rsidRPr="00AC3D8A">
        <w:rPr>
          <w:lang w:val="fr"/>
        </w:rPr>
        <w:t xml:space="preserve"> qui prévoit qu'« </w:t>
      </w:r>
      <w:r w:rsidRPr="00AC3D8A">
        <w:rPr>
          <w:i/>
          <w:iCs/>
          <w:lang w:val="fr"/>
        </w:rPr>
        <w:t>[e]n conformité avec les instructions du Conseil exécutif, le Président ou le Secrétaire exécutif peuvent, avant de prendre une décision, consulter par correspondance les États membres de la Commission sur des questions de fond et fixer un délai de réponse raisonnable. »</w:t>
      </w:r>
      <w:r w:rsidRPr="00AC3D8A">
        <w:rPr>
          <w:lang w:val="fr"/>
        </w:rPr>
        <w:t xml:space="preserve"> Cette procédure par correspondance pourrait être encore élargie ou clarifiée. </w:t>
      </w:r>
    </w:p>
    <w:p w14:paraId="4387842B" w14:textId="77777777" w:rsidR="00A3408F"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lang w:val="fr"/>
        </w:rPr>
        <w:t xml:space="preserve">Compte </w:t>
      </w:r>
      <w:r w:rsidRPr="00AC3D8A">
        <w:rPr>
          <w:rFonts w:asciiTheme="minorBidi" w:hAnsiTheme="minorBidi"/>
          <w:snapToGrid/>
          <w:lang w:val="fr"/>
        </w:rPr>
        <w:t>tenu</w:t>
      </w:r>
      <w:r w:rsidRPr="00AC3D8A">
        <w:rPr>
          <w:lang w:val="fr"/>
        </w:rPr>
        <w:t xml:space="preserve"> de ce qui précède, et afin d'éviter toute précipitation inutile et de garantir un examen attentif du Règlement intérieur et une consultation large et inclusive de tous les États membres sur les propositions d'amendement, le Groupe consultatif financier intersessions a recommandé que l'Assemblée, lors de sa 31</w:t>
      </w:r>
      <w:r w:rsidRPr="00AC3D8A">
        <w:rPr>
          <w:vertAlign w:val="superscript"/>
          <w:lang w:val="fr"/>
        </w:rPr>
        <w:t>e </w:t>
      </w:r>
      <w:r w:rsidRPr="00AC3D8A">
        <w:rPr>
          <w:lang w:val="fr"/>
        </w:rPr>
        <w:t>session, dans sa résolution « Questions de gouvernance, programmation et budgétisation intéressant la Commission » :</w:t>
      </w:r>
    </w:p>
    <w:p w14:paraId="40E63D5D" w14:textId="77777777" w:rsidR="00A3408F" w:rsidRPr="00AC3D8A" w:rsidRDefault="00B14F11" w:rsidP="00AC3D8A">
      <w:pPr>
        <w:spacing w:after="240"/>
        <w:ind w:left="851" w:right="849"/>
        <w:jc w:val="both"/>
        <w:rPr>
          <w:rFonts w:cstheme="minorHAnsi"/>
        </w:rPr>
      </w:pPr>
      <w:r w:rsidRPr="00AC3D8A">
        <w:rPr>
          <w:rFonts w:cstheme="minorHAnsi"/>
          <w:lang w:val="fr"/>
        </w:rPr>
        <w:t xml:space="preserve">demande au Secrétaire exécutif de préparer, en consultation avec le Conseiller juridique de l'UNESCO et le Groupe consultatif financier intersessions, une proposition préliminaire de révision du Règlement intérieur de l'Assemblée et du Règlement intérieur du Conseil exécutif, qui serait alignée sur les meilleures pratiques en vigueur, pour examen et adoption par ces deux organes.  </w:t>
      </w:r>
    </w:p>
    <w:p w14:paraId="5BCCE729" w14:textId="77777777" w:rsidR="00A3408F" w:rsidRPr="00AC3D8A" w:rsidRDefault="00B14F11" w:rsidP="00AC3D8A">
      <w:pPr>
        <w:numPr>
          <w:ilvl w:val="0"/>
          <w:numId w:val="33"/>
        </w:numPr>
        <w:tabs>
          <w:tab w:val="clear" w:pos="567"/>
          <w:tab w:val="left" w:pos="709"/>
        </w:tabs>
        <w:spacing w:after="240"/>
        <w:ind w:left="0" w:firstLine="0"/>
        <w:jc w:val="both"/>
        <w:rPr>
          <w:rFonts w:cs="Arial"/>
          <w:szCs w:val="22"/>
        </w:rPr>
      </w:pPr>
      <w:r w:rsidRPr="00AC3D8A">
        <w:rPr>
          <w:lang w:val="fr"/>
        </w:rPr>
        <w:t xml:space="preserve">Le calendrier </w:t>
      </w:r>
      <w:r w:rsidRPr="00AC3D8A">
        <w:rPr>
          <w:rFonts w:asciiTheme="minorBidi" w:hAnsiTheme="minorBidi"/>
          <w:snapToGrid/>
          <w:lang w:val="fr"/>
        </w:rPr>
        <w:t>proposé</w:t>
      </w:r>
      <w:r w:rsidRPr="00AC3D8A">
        <w:rPr>
          <w:lang w:val="fr"/>
        </w:rPr>
        <w:t xml:space="preserve"> serait le suivant :</w:t>
      </w:r>
    </w:p>
    <w:p w14:paraId="5ECCE995" w14:textId="77777777" w:rsidR="00A3408F" w:rsidRPr="00AC3D8A" w:rsidRDefault="00B14F11" w:rsidP="00AC3D8A">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AC3D8A">
        <w:rPr>
          <w:rFonts w:ascii="Arial" w:hAnsi="Arial" w:cs="Arial"/>
          <w:sz w:val="22"/>
          <w:szCs w:val="22"/>
          <w:lang w:val="fr"/>
        </w:rPr>
        <w:t>Le premier projet de Règlement intérieur du Conseil exécutif sera examiné par le Conseil exécutif lors de sa 55</w:t>
      </w:r>
      <w:r w:rsidRPr="00AC3D8A">
        <w:rPr>
          <w:rFonts w:ascii="Arial" w:hAnsi="Arial" w:cs="Arial"/>
          <w:sz w:val="22"/>
          <w:szCs w:val="22"/>
          <w:vertAlign w:val="superscript"/>
          <w:lang w:val="fr"/>
        </w:rPr>
        <w:t>e</w:t>
      </w:r>
      <w:r w:rsidRPr="00AC3D8A">
        <w:rPr>
          <w:rFonts w:ascii="Arial" w:hAnsi="Arial" w:cs="Arial"/>
          <w:sz w:val="22"/>
          <w:szCs w:val="22"/>
          <w:lang w:val="fr"/>
        </w:rPr>
        <w:t xml:space="preserve"> session en 2022. </w:t>
      </w:r>
    </w:p>
    <w:p w14:paraId="7629E339" w14:textId="77777777" w:rsidR="00A3408F" w:rsidRPr="00AC3D8A" w:rsidRDefault="00B14F11" w:rsidP="00AC3D8A">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AC3D8A">
        <w:rPr>
          <w:rFonts w:ascii="Arial" w:hAnsi="Arial" w:cs="Arial"/>
          <w:sz w:val="22"/>
          <w:szCs w:val="22"/>
          <w:lang w:val="fr"/>
        </w:rPr>
        <w:t>Le projet de règlement intérieur de l'Assemblée sera présenté pour examen et adoption lors de sa 32</w:t>
      </w:r>
      <w:r w:rsidRPr="00AC3D8A">
        <w:rPr>
          <w:rFonts w:ascii="Arial" w:hAnsi="Arial" w:cs="Arial"/>
          <w:sz w:val="22"/>
          <w:szCs w:val="22"/>
          <w:vertAlign w:val="superscript"/>
          <w:lang w:val="fr"/>
        </w:rPr>
        <w:t>e </w:t>
      </w:r>
      <w:r w:rsidRPr="00AC3D8A">
        <w:rPr>
          <w:rFonts w:ascii="Arial" w:hAnsi="Arial" w:cs="Arial"/>
          <w:sz w:val="22"/>
          <w:szCs w:val="22"/>
          <w:lang w:val="fr"/>
        </w:rPr>
        <w:t>session en 2023.</w:t>
      </w:r>
    </w:p>
    <w:p w14:paraId="3FFF09B4" w14:textId="77777777" w:rsidR="00A3408F" w:rsidRPr="00AC3D8A" w:rsidRDefault="00B14F11" w:rsidP="00AC3D8A">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AC3D8A">
        <w:rPr>
          <w:rFonts w:ascii="Arial" w:hAnsi="Arial" w:cs="Arial"/>
          <w:sz w:val="22"/>
          <w:szCs w:val="22"/>
          <w:lang w:val="fr"/>
        </w:rPr>
        <w:t>Le Conseil exécutif tiendra une session extraordinaire après la 32</w:t>
      </w:r>
      <w:r w:rsidRPr="00AC3D8A">
        <w:rPr>
          <w:rFonts w:ascii="Arial" w:hAnsi="Arial" w:cs="Arial"/>
          <w:sz w:val="22"/>
          <w:szCs w:val="22"/>
          <w:vertAlign w:val="superscript"/>
          <w:lang w:val="fr"/>
        </w:rPr>
        <w:t>e</w:t>
      </w:r>
      <w:r w:rsidRPr="00AC3D8A">
        <w:rPr>
          <w:rFonts w:ascii="Arial" w:hAnsi="Arial" w:cs="Arial"/>
          <w:sz w:val="22"/>
          <w:szCs w:val="22"/>
          <w:lang w:val="fr"/>
        </w:rPr>
        <w:t xml:space="preserve"> session de l'Assemblée afin d'adopter son Règlement intérieur. </w:t>
      </w:r>
    </w:p>
    <w:p w14:paraId="36240BF1" w14:textId="77777777" w:rsidR="00CC7192" w:rsidRPr="00AC3D8A" w:rsidRDefault="00B14F11" w:rsidP="00AC3D8A">
      <w:pPr>
        <w:pStyle w:val="ListParagraph"/>
        <w:numPr>
          <w:ilvl w:val="0"/>
          <w:numId w:val="31"/>
        </w:numPr>
        <w:tabs>
          <w:tab w:val="clear" w:pos="709"/>
        </w:tabs>
        <w:snapToGrid w:val="0"/>
        <w:spacing w:after="240"/>
        <w:ind w:left="1316" w:hanging="566"/>
        <w:contextualSpacing w:val="0"/>
        <w:rPr>
          <w:rFonts w:cs="Arial"/>
          <w:szCs w:val="22"/>
        </w:rPr>
      </w:pPr>
      <w:r w:rsidRPr="00AC3D8A">
        <w:rPr>
          <w:rFonts w:ascii="Arial" w:hAnsi="Arial" w:cs="Arial"/>
          <w:sz w:val="22"/>
          <w:szCs w:val="22"/>
          <w:lang w:val="fr"/>
        </w:rPr>
        <w:t>Les deux organes directeurs adopteront les recommandations sur les méthodes de travail pour une session virtuelle en même temps que le Règlement intérieur, suivant la pratique du Conseil exécutif de l'UNESCO.</w:t>
      </w:r>
    </w:p>
    <w:p w14:paraId="1FEAF651" w14:textId="77777777" w:rsidR="00CC7192" w:rsidRPr="00AC3D8A" w:rsidRDefault="00B14F11" w:rsidP="00AC3D8A">
      <w:pPr>
        <w:pStyle w:val="ListParagraph"/>
        <w:tabs>
          <w:tab w:val="clear" w:pos="709"/>
        </w:tabs>
        <w:snapToGrid w:val="0"/>
        <w:spacing w:after="240"/>
        <w:ind w:left="1316"/>
        <w:contextualSpacing w:val="0"/>
        <w:rPr>
          <w:rFonts w:cs="Arial"/>
          <w:szCs w:val="22"/>
        </w:rPr>
      </w:pPr>
      <w:r w:rsidRPr="00AC3D8A">
        <w:rPr>
          <w:rFonts w:ascii="Arial" w:hAnsi="Arial" w:cs="Arial"/>
          <w:sz w:val="22"/>
          <w:szCs w:val="22"/>
          <w:lang w:val="fr"/>
        </w:rPr>
        <w:t>Tout en se félicitant de la proposition d'établir deux Règlements distincts, l'un pour l'Assemblée et l'autre pour le Conseil exécutif, comme décrit ci-dessus, les États membres ont convenu que l'examen devrait se concentrer sur les clauses qui pourraient bénéficier d'une formulation plus claire et sur l'alignement des versions linguistiques, sans modification substantielle du Règlement actuel.</w:t>
      </w:r>
    </w:p>
    <w:p w14:paraId="13F84C22" w14:textId="77777777" w:rsidR="006805F7" w:rsidRPr="00AC3D8A" w:rsidRDefault="00B14F11" w:rsidP="00AC3D8A">
      <w:pPr>
        <w:numPr>
          <w:ilvl w:val="0"/>
          <w:numId w:val="33"/>
        </w:numPr>
        <w:tabs>
          <w:tab w:val="clear" w:pos="567"/>
          <w:tab w:val="left" w:pos="709"/>
        </w:tabs>
        <w:spacing w:after="240"/>
        <w:ind w:left="0" w:firstLine="0"/>
        <w:jc w:val="both"/>
        <w:rPr>
          <w:rFonts w:cstheme="minorHAnsi"/>
        </w:rPr>
      </w:pPr>
      <w:r w:rsidRPr="00AC3D8A">
        <w:rPr>
          <w:rFonts w:cstheme="minorHAnsi"/>
          <w:lang w:val="fr"/>
        </w:rPr>
        <w:t xml:space="preserve">Enfin, avec la décision de l'Assemblée de commencer à examiner les moyens d'améliorer les rapports sur les contributions en nature des États membres, les discussions ont porté sur le projet de note fourni par les États-Unis d'Amérique et joint en annexe I du présent document. Les États membres ont convenus que la proposition était très opportune et qu'en effet, le rapport actuel </w:t>
      </w:r>
      <w:r w:rsidRPr="00AC3D8A">
        <w:rPr>
          <w:rFonts w:cstheme="minorHAnsi"/>
          <w:lang w:val="fr"/>
        </w:rPr>
        <w:lastRenderedPageBreak/>
        <w:t>sur les contributions en nature, tel qu'il figure dans le tableau 5 du document IOC/A-31/3.2.Doc(2), n'offre pas une vue d'ensemble complète et n'est pas fondé sur une approche approuvée collectivement par les États membres. Ils se sont félicités de la tentative du projet de note d'établir à la fois les critères d'un rapport plus complet et une approche plus systématique de la collecte des informations auprès des États membres par le biais d'une lettre circulaire. Les États membres ont convenu qu'il s'agissait d'un point de départ pour les discussions au sein du Comité financier de session, en gardant également à l'esprit la nécessité d'éviter toute augmentation substantielle de la charge de travail du Secrétariat.</w:t>
      </w:r>
      <w:r w:rsidRPr="00AC3D8A">
        <w:rPr>
          <w:rFonts w:cstheme="minorHAnsi"/>
          <w:lang w:val="fr"/>
        </w:rPr>
        <w:br w:type="page"/>
      </w:r>
    </w:p>
    <w:p w14:paraId="378D6B80" w14:textId="77777777" w:rsidR="009F394A" w:rsidRPr="00AC3D8A" w:rsidRDefault="00B14F11" w:rsidP="00AC3D8A">
      <w:pPr>
        <w:spacing w:after="240"/>
        <w:jc w:val="center"/>
        <w:rPr>
          <w:rFonts w:eastAsiaTheme="minorHAnsi"/>
          <w:snapToGrid/>
          <w:color w:val="000000"/>
          <w:sz w:val="24"/>
        </w:rPr>
      </w:pPr>
      <w:r w:rsidRPr="00AC3D8A">
        <w:rPr>
          <w:rFonts w:cs="Arial"/>
          <w:b/>
          <w:bCs/>
          <w:szCs w:val="22"/>
          <w:lang w:val="fr"/>
        </w:rPr>
        <w:lastRenderedPageBreak/>
        <w:t>Annexe I</w:t>
      </w:r>
    </w:p>
    <w:p w14:paraId="4761DB5A" w14:textId="77777777" w:rsidR="009F394A" w:rsidRPr="00AC3D8A" w:rsidRDefault="00B14F11" w:rsidP="00AC3D8A">
      <w:pPr>
        <w:pStyle w:val="Default"/>
        <w:snapToGrid w:val="0"/>
        <w:spacing w:after="240"/>
        <w:jc w:val="center"/>
        <w:rPr>
          <w:rFonts w:eastAsia="Times New Roman" w:cs="Times New Roman"/>
          <w:bCs/>
          <w:szCs w:val="22"/>
          <w:u w:val="single"/>
        </w:rPr>
      </w:pPr>
      <w:r w:rsidRPr="00AC3D8A">
        <w:rPr>
          <w:rFonts w:cs="Times New Roman"/>
          <w:color w:val="auto"/>
          <w:szCs w:val="22"/>
          <w:u w:val="single"/>
          <w:lang w:val="fr"/>
        </w:rPr>
        <w:t>Rapport sur les contributions en nature des États membres de la COI</w:t>
      </w:r>
    </w:p>
    <w:p w14:paraId="1028DAF9" w14:textId="77777777" w:rsidR="009F394A" w:rsidRPr="00AC3D8A" w:rsidRDefault="00B14F11" w:rsidP="00AC3D8A">
      <w:pPr>
        <w:spacing w:after="240"/>
        <w:jc w:val="both"/>
        <w:rPr>
          <w:rFonts w:eastAsia="Calibri" w:cs="Arial"/>
        </w:rPr>
      </w:pPr>
      <w:r w:rsidRPr="00AC3D8A">
        <w:rPr>
          <w:rFonts w:eastAsia="Calibri" w:cs="Arial"/>
          <w:lang w:val="fr"/>
        </w:rPr>
        <w:t>Lors de sa 53</w:t>
      </w:r>
      <w:r w:rsidRPr="00AC3D8A">
        <w:rPr>
          <w:rFonts w:eastAsia="Calibri" w:cs="Arial"/>
          <w:vertAlign w:val="superscript"/>
          <w:lang w:val="fr"/>
        </w:rPr>
        <w:t>e</w:t>
      </w:r>
      <w:r w:rsidRPr="00AC3D8A">
        <w:rPr>
          <w:rFonts w:eastAsia="Calibri" w:cs="Arial"/>
          <w:lang w:val="fr"/>
        </w:rPr>
        <w:t> session en février 2021, le Conseil exécutif de la COI a révisé, par le biais de la résolution EC-53/2, les « Principes directeurs pour la programmation et la budgétisation » afin d'encourager les contributions extrabudgétaires et en nature à un moment où les contraintes budgétaires pour le budget du programme ordinaire sont de plus en plus fortes. Cette orientation a été encouragée :</w:t>
      </w:r>
    </w:p>
    <w:p w14:paraId="0A653CAE" w14:textId="77777777" w:rsidR="009F394A" w:rsidRPr="00AC3D8A" w:rsidRDefault="00B14F11" w:rsidP="00AC3D8A">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AC3D8A">
        <w:rPr>
          <w:rFonts w:eastAsia="Arial" w:cs="Arial"/>
          <w:i/>
          <w:iCs/>
          <w:color w:val="000000"/>
          <w:lang w:val="fr"/>
        </w:rPr>
        <w:t>« Les programmes devraient développer des partenariats solides qui augmenteraient la résilience financière en cas de pressions financières, permettant aux partenaires de prendre une plus grande part dans le soutien de ces programmes, à condition que ces partenaires respectent les objectifs et les directives établis par les organes directeurs de la COI et répondent au secrétariat de la COI à cet égard ;</w:t>
      </w:r>
    </w:p>
    <w:p w14:paraId="68D597DB" w14:textId="77777777" w:rsidR="009F394A" w:rsidRPr="00AC3D8A" w:rsidRDefault="00B14F11" w:rsidP="00AC3D8A">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AC3D8A">
        <w:rPr>
          <w:rFonts w:eastAsia="Arial" w:cs="Arial"/>
          <w:i/>
          <w:iCs/>
          <w:color w:val="000000"/>
          <w:lang w:val="fr"/>
        </w:rPr>
        <w:t>Identifier les États membres désireux d'établir des bureaux financés et dotés en personnel pour prendre une part plus importante dans un programme de la COI sur la base des bonnes pratiques existantes, à condition que ces États membres respectent les objectifs et les directives établis par les organes directeurs de la COI et répondent au secrétariat de la COI à cet égard ;</w:t>
      </w:r>
    </w:p>
    <w:p w14:paraId="652F92AF" w14:textId="77777777" w:rsidR="009F394A" w:rsidRPr="00AC3D8A" w:rsidRDefault="00B14F11" w:rsidP="00AC3D8A">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AC3D8A">
        <w:rPr>
          <w:rFonts w:eastAsia="Arial" w:cs="Arial"/>
          <w:i/>
          <w:iCs/>
          <w:color w:val="000000"/>
          <w:lang w:val="fr"/>
        </w:rPr>
        <w:t>Identifier les activités qui peuvent être financées par des fonds extrabudgétaires et des contributions en nature et, en fonction de cela, établir un ordre de priorité dans l'allocation des ressources du budget ordinaire aux activités et fonctions de la COI qui ne peuvent pas être financées par des fonds extrabudgétaires, afin de garantir que les ressources provenant du budget ordinaire et des sources extrabudgétaires seront dépensées de manière à permettre la mise en œuvre adéquate et équilibrée de toutes les fonctions de la COI. »</w:t>
      </w:r>
    </w:p>
    <w:p w14:paraId="6D1B3384" w14:textId="77777777" w:rsidR="009F394A" w:rsidRPr="00AC3D8A" w:rsidRDefault="00B14F11" w:rsidP="00AC3D8A">
      <w:pPr>
        <w:spacing w:after="240"/>
        <w:rPr>
          <w:rFonts w:eastAsia="Calibri" w:cs="Arial"/>
        </w:rPr>
      </w:pPr>
      <w:r w:rsidRPr="00AC3D8A">
        <w:rPr>
          <w:rFonts w:eastAsia="Calibri" w:cs="Arial"/>
          <w:b/>
          <w:bCs/>
          <w:lang w:val="fr"/>
        </w:rPr>
        <w:t>Les contributions peuvent faire l'objet d'un rapport si elles </w:t>
      </w:r>
      <w:r w:rsidRPr="00AC3D8A">
        <w:rPr>
          <w:rFonts w:eastAsia="Calibri" w:cs="Arial"/>
          <w:lang w:val="fr"/>
        </w:rPr>
        <w:t xml:space="preserve">: </w:t>
      </w:r>
    </w:p>
    <w:p w14:paraId="47943707" w14:textId="77777777" w:rsidR="009F394A" w:rsidRPr="00AC3D8A" w:rsidRDefault="00B14F11" w:rsidP="00AC3D8A">
      <w:pPr>
        <w:numPr>
          <w:ilvl w:val="0"/>
          <w:numId w:val="35"/>
        </w:numPr>
        <w:pBdr>
          <w:top w:val="nil"/>
          <w:left w:val="nil"/>
          <w:bottom w:val="nil"/>
          <w:right w:val="nil"/>
          <w:between w:val="nil"/>
        </w:pBdr>
        <w:tabs>
          <w:tab w:val="clear" w:pos="567"/>
        </w:tabs>
        <w:spacing w:after="240"/>
        <w:ind w:hanging="720"/>
        <w:jc w:val="both"/>
        <w:rPr>
          <w:rFonts w:eastAsia="Calibri" w:cs="Arial"/>
        </w:rPr>
      </w:pPr>
      <w:r w:rsidRPr="00AC3D8A">
        <w:rPr>
          <w:rFonts w:eastAsia="Calibri" w:cs="Arial"/>
          <w:color w:val="000000"/>
          <w:lang w:val="fr"/>
        </w:rPr>
        <w:t>Renforcent la coordination des programmes de la COI et des activités nationales et régionales, notamment en renforçant les organes subsidiaires régionaux, les bureaux décentralisés, y compris les bureaux de coordination de la Décennie, les centres de coordination de la Décennie et les centres de catégorie 2,</w:t>
      </w:r>
    </w:p>
    <w:p w14:paraId="1C0FECEC" w14:textId="77777777" w:rsidR="009F394A" w:rsidRPr="00AC3D8A" w:rsidRDefault="00B14F11" w:rsidP="00AC3D8A">
      <w:pPr>
        <w:numPr>
          <w:ilvl w:val="0"/>
          <w:numId w:val="35"/>
        </w:numPr>
        <w:pBdr>
          <w:top w:val="nil"/>
          <w:left w:val="nil"/>
          <w:bottom w:val="nil"/>
          <w:right w:val="nil"/>
          <w:between w:val="nil"/>
        </w:pBdr>
        <w:tabs>
          <w:tab w:val="clear" w:pos="567"/>
        </w:tabs>
        <w:spacing w:after="240"/>
        <w:ind w:hanging="720"/>
        <w:jc w:val="both"/>
        <w:rPr>
          <w:rFonts w:eastAsia="Calibri" w:cs="Arial"/>
        </w:rPr>
      </w:pPr>
      <w:r w:rsidRPr="00AC3D8A">
        <w:rPr>
          <w:rFonts w:eastAsia="Calibri" w:cs="Arial"/>
          <w:color w:val="000000"/>
          <w:lang w:val="fr"/>
        </w:rPr>
        <w:t>Correspondent aux directives des organes directeurs internationaux de la COI et les soutiennent ; et</w:t>
      </w:r>
    </w:p>
    <w:p w14:paraId="2A00EA5C" w14:textId="77777777" w:rsidR="009F394A" w:rsidRPr="00AC3D8A" w:rsidRDefault="00B14F11" w:rsidP="00AC3D8A">
      <w:pPr>
        <w:numPr>
          <w:ilvl w:val="0"/>
          <w:numId w:val="35"/>
        </w:numPr>
        <w:pBdr>
          <w:top w:val="nil"/>
          <w:left w:val="nil"/>
          <w:bottom w:val="nil"/>
          <w:right w:val="nil"/>
          <w:between w:val="nil"/>
        </w:pBdr>
        <w:tabs>
          <w:tab w:val="clear" w:pos="567"/>
        </w:tabs>
        <w:spacing w:after="240"/>
        <w:ind w:hanging="720"/>
        <w:jc w:val="both"/>
        <w:rPr>
          <w:rFonts w:eastAsia="Calibri" w:cs="Arial"/>
        </w:rPr>
      </w:pPr>
      <w:r w:rsidRPr="00AC3D8A">
        <w:rPr>
          <w:rFonts w:eastAsia="Calibri" w:cs="Arial"/>
          <w:color w:val="000000"/>
          <w:lang w:val="fr"/>
        </w:rPr>
        <w:t xml:space="preserve">Facilitent </w:t>
      </w:r>
      <w:r w:rsidRPr="00AC3D8A">
        <w:rPr>
          <w:rFonts w:eastAsia="Calibri" w:cs="Arial"/>
          <w:lang w:val="fr"/>
        </w:rPr>
        <w:t>un engagement international coordonné dans les programmes de la COI.</w:t>
      </w:r>
    </w:p>
    <w:p w14:paraId="002B8FFC" w14:textId="77777777" w:rsidR="009F394A" w:rsidRPr="00AC3D8A" w:rsidRDefault="00B14F11" w:rsidP="00AC3D8A">
      <w:pPr>
        <w:spacing w:after="240"/>
        <w:jc w:val="both"/>
        <w:rPr>
          <w:rFonts w:eastAsia="Calibri" w:cs="Arial"/>
        </w:rPr>
      </w:pPr>
      <w:r w:rsidRPr="00AC3D8A">
        <w:rPr>
          <w:rFonts w:eastAsia="Calibri" w:cs="Arial"/>
          <w:lang w:val="fr"/>
        </w:rPr>
        <w:t>La contribution en nature comprend la contribution de la capacité de coordination conformément aux directives de l'organe directeur de la COI, y compris les services fournis indirectement par un tiers (par exemple, un entrepreneur ou un partenaire).</w:t>
      </w:r>
    </w:p>
    <w:p w14:paraId="223F71BE" w14:textId="77777777" w:rsidR="009F394A" w:rsidRPr="00AC3D8A" w:rsidRDefault="00B14F11" w:rsidP="00AC3D8A">
      <w:pPr>
        <w:spacing w:after="240"/>
        <w:rPr>
          <w:rFonts w:eastAsia="Calibri" w:cs="Arial"/>
          <w:b/>
        </w:rPr>
      </w:pPr>
      <w:r w:rsidRPr="00AC3D8A">
        <w:rPr>
          <w:rFonts w:eastAsia="Calibri" w:cs="Arial"/>
          <w:b/>
          <w:bCs/>
          <w:lang w:val="fr"/>
        </w:rPr>
        <w:br w:type="page"/>
      </w:r>
    </w:p>
    <w:tbl>
      <w:tblPr>
        <w:tblStyle w:val="TableGrid"/>
        <w:tblW w:w="0" w:type="auto"/>
        <w:tblLook w:val="04A0" w:firstRow="1" w:lastRow="0" w:firstColumn="1" w:lastColumn="0" w:noHBand="0" w:noVBand="1"/>
      </w:tblPr>
      <w:tblGrid>
        <w:gridCol w:w="9062"/>
      </w:tblGrid>
      <w:tr w:rsidR="004F3961" w:rsidRPr="00AC3D8A" w14:paraId="0D0D29C6" w14:textId="77777777" w:rsidTr="00F5598E">
        <w:tc>
          <w:tcPr>
            <w:tcW w:w="9062" w:type="dxa"/>
          </w:tcPr>
          <w:p w14:paraId="76FB4C88" w14:textId="77777777" w:rsidR="009F394A" w:rsidRPr="00AC3D8A" w:rsidRDefault="00B14F11" w:rsidP="00AC3D8A">
            <w:pPr>
              <w:rPr>
                <w:rFonts w:cstheme="minorHAnsi"/>
                <w:b/>
              </w:rPr>
            </w:pPr>
            <w:r w:rsidRPr="00AC3D8A">
              <w:rPr>
                <w:rFonts w:cstheme="minorHAnsi"/>
                <w:b/>
                <w:bCs/>
                <w:lang w:val="fr"/>
              </w:rPr>
              <w:lastRenderedPageBreak/>
              <w:t>1. Contributions en nature pour lesquelles établir un rapport à la fonction de coordination du secrétariat de la COI</w:t>
            </w:r>
          </w:p>
          <w:p w14:paraId="21B3E2B6" w14:textId="77777777" w:rsidR="009F394A" w:rsidRPr="00AC3D8A" w:rsidRDefault="009F394A" w:rsidP="00AC3D8A">
            <w:pPr>
              <w:rPr>
                <w:rFonts w:cstheme="minorHAnsi"/>
                <w:b/>
              </w:rPr>
            </w:pPr>
          </w:p>
        </w:tc>
      </w:tr>
    </w:tbl>
    <w:p w14:paraId="4D08599C" w14:textId="77777777" w:rsidR="009F394A" w:rsidRPr="00AC3D8A" w:rsidRDefault="009F394A" w:rsidP="00AC3D8A">
      <w:pPr>
        <w:rPr>
          <w:rFonts w:eastAsia="Calibri" w:cstheme="minorHAnsi"/>
          <w:b/>
        </w:rPr>
      </w:pPr>
    </w:p>
    <w:p w14:paraId="546296DA" w14:textId="77777777" w:rsidR="009F394A" w:rsidRPr="00AC3D8A" w:rsidRDefault="009F394A" w:rsidP="00AC3D8A">
      <w:pPr>
        <w:rPr>
          <w:rFonts w:eastAsia="Calibri" w:cstheme="minorHAnsi"/>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F3961" w:rsidRPr="00AC3D8A" w14:paraId="2C681508" w14:textId="77777777" w:rsidTr="00F5598E">
        <w:tc>
          <w:tcPr>
            <w:tcW w:w="4675" w:type="dxa"/>
          </w:tcPr>
          <w:p w14:paraId="65421996" w14:textId="77777777" w:rsidR="009F394A" w:rsidRPr="00AC3D8A" w:rsidRDefault="00B14F11" w:rsidP="00AC3D8A">
            <w:pPr>
              <w:rPr>
                <w:rFonts w:eastAsia="Calibri" w:cstheme="minorHAnsi"/>
                <w:b/>
              </w:rPr>
            </w:pPr>
            <w:r w:rsidRPr="00AC3D8A">
              <w:rPr>
                <w:rFonts w:eastAsia="Calibri" w:cstheme="minorHAnsi"/>
                <w:b/>
                <w:bCs/>
                <w:lang w:val="fr"/>
              </w:rPr>
              <w:t>Établir un rapport pour votre pays ou votre organisation</w:t>
            </w:r>
          </w:p>
        </w:tc>
        <w:tc>
          <w:tcPr>
            <w:tcW w:w="4675" w:type="dxa"/>
          </w:tcPr>
          <w:p w14:paraId="33DC7B04" w14:textId="77777777" w:rsidR="009F394A" w:rsidRPr="00AC3D8A" w:rsidRDefault="00B14F11" w:rsidP="00AC3D8A">
            <w:pPr>
              <w:rPr>
                <w:rFonts w:eastAsia="Calibri" w:cstheme="minorHAnsi"/>
                <w:b/>
              </w:rPr>
            </w:pPr>
            <w:r w:rsidRPr="00AC3D8A">
              <w:rPr>
                <w:rFonts w:eastAsia="Calibri" w:cstheme="minorHAnsi"/>
                <w:b/>
                <w:bCs/>
                <w:lang w:val="fr"/>
              </w:rPr>
              <w:t>Ne pas établir de rapport</w:t>
            </w:r>
          </w:p>
        </w:tc>
      </w:tr>
      <w:tr w:rsidR="004F3961" w:rsidRPr="00AC3D8A" w14:paraId="7EF8C95B" w14:textId="77777777" w:rsidTr="00F5598E">
        <w:trPr>
          <w:trHeight w:val="1952"/>
        </w:trPr>
        <w:tc>
          <w:tcPr>
            <w:tcW w:w="4675" w:type="dxa"/>
          </w:tcPr>
          <w:p w14:paraId="2FFB9FCF" w14:textId="77777777" w:rsidR="009F394A" w:rsidRPr="00AC3D8A" w:rsidRDefault="009F394A" w:rsidP="00AC3D8A">
            <w:pPr>
              <w:rPr>
                <w:rFonts w:eastAsia="Calibri" w:cstheme="minorHAnsi"/>
                <w:b/>
              </w:rPr>
            </w:pPr>
          </w:p>
          <w:p w14:paraId="632EA21D" w14:textId="77777777" w:rsidR="009F394A" w:rsidRPr="00AC3D8A" w:rsidRDefault="00B14F11" w:rsidP="00AC3D8A">
            <w:pPr>
              <w:rPr>
                <w:rFonts w:eastAsia="Calibri" w:cstheme="minorHAnsi"/>
              </w:rPr>
            </w:pPr>
            <w:r w:rsidRPr="00AC3D8A">
              <w:rPr>
                <w:rFonts w:eastAsia="Calibri" w:cstheme="minorHAnsi"/>
                <w:lang w:val="fr"/>
              </w:rPr>
              <w:t xml:space="preserve">L'accueil d'un bureau de la COI dans le cadre d'un accord de partenariat officiel et sous réserve des directives de la COI (frais de personnel, de bureau et de bâtiment), par exemple, l'accueil des comités ou sous-commissions régionaux de la COI, des centres de formation affiliés à la COI (soutenant la participation internationale), l'accueil de secrétariat (IODE et HAB) ou des services de la COI (OBIS, services régionaux d'alerte aux tsunamis autorisés par la COI) </w:t>
            </w:r>
          </w:p>
          <w:p w14:paraId="0F0E0B2E" w14:textId="77777777" w:rsidR="009F394A" w:rsidRPr="00AC3D8A" w:rsidRDefault="009F394A" w:rsidP="00AC3D8A">
            <w:pPr>
              <w:rPr>
                <w:rFonts w:eastAsia="Calibri" w:cstheme="minorHAnsi"/>
              </w:rPr>
            </w:pPr>
          </w:p>
          <w:p w14:paraId="28CF929E" w14:textId="77777777" w:rsidR="009F394A" w:rsidRPr="00AC3D8A" w:rsidRDefault="009F394A" w:rsidP="00AC3D8A">
            <w:pPr>
              <w:rPr>
                <w:rFonts w:eastAsia="Calibri" w:cstheme="minorHAnsi"/>
              </w:rPr>
            </w:pPr>
          </w:p>
          <w:p w14:paraId="3E388600" w14:textId="77777777" w:rsidR="009F394A" w:rsidRPr="00AC3D8A" w:rsidRDefault="009F394A" w:rsidP="00AC3D8A">
            <w:pPr>
              <w:rPr>
                <w:rFonts w:eastAsia="Calibri" w:cstheme="minorHAnsi"/>
              </w:rPr>
            </w:pPr>
          </w:p>
          <w:p w14:paraId="1979763C" w14:textId="77777777" w:rsidR="009F394A" w:rsidRPr="00AC3D8A" w:rsidRDefault="009F394A" w:rsidP="00AC3D8A">
            <w:pPr>
              <w:rPr>
                <w:rFonts w:eastAsia="Calibri" w:cstheme="minorHAnsi"/>
              </w:rPr>
            </w:pPr>
          </w:p>
          <w:p w14:paraId="63B9932B" w14:textId="77777777" w:rsidR="009F394A" w:rsidRPr="00AC3D8A" w:rsidRDefault="009F394A" w:rsidP="00AC3D8A">
            <w:pPr>
              <w:rPr>
                <w:rFonts w:eastAsia="Calibri" w:cstheme="minorHAnsi"/>
              </w:rPr>
            </w:pPr>
          </w:p>
          <w:p w14:paraId="614FBB60" w14:textId="77777777" w:rsidR="009F394A" w:rsidRPr="00AC3D8A" w:rsidRDefault="009F394A" w:rsidP="00AC3D8A">
            <w:pPr>
              <w:rPr>
                <w:rFonts w:eastAsia="Calibri" w:cstheme="minorHAnsi"/>
              </w:rPr>
            </w:pPr>
          </w:p>
          <w:p w14:paraId="4AD43B26" w14:textId="77777777" w:rsidR="009F394A" w:rsidRPr="00AC3D8A" w:rsidRDefault="009F394A" w:rsidP="00AC3D8A">
            <w:pPr>
              <w:rPr>
                <w:rFonts w:eastAsia="Calibri" w:cstheme="minorHAnsi"/>
              </w:rPr>
            </w:pPr>
          </w:p>
          <w:p w14:paraId="4AEE0283" w14:textId="77777777" w:rsidR="009F394A" w:rsidRPr="00AC3D8A" w:rsidRDefault="009F394A" w:rsidP="00AC3D8A">
            <w:pPr>
              <w:rPr>
                <w:rFonts w:eastAsia="Calibri" w:cstheme="minorHAnsi"/>
              </w:rPr>
            </w:pPr>
          </w:p>
          <w:p w14:paraId="27E33009" w14:textId="77777777" w:rsidR="009F394A" w:rsidRPr="00AC3D8A" w:rsidRDefault="00B14F11" w:rsidP="00AC3D8A">
            <w:pPr>
              <w:rPr>
                <w:rFonts w:eastAsia="Calibri" w:cstheme="minorHAnsi"/>
              </w:rPr>
            </w:pPr>
            <w:r w:rsidRPr="00AC3D8A">
              <w:rPr>
                <w:rFonts w:eastAsia="Calibri" w:cstheme="minorHAnsi"/>
                <w:lang w:val="fr"/>
              </w:rPr>
              <w:t>Le travail du personnel axé sur les tâches, en personne ou à distance, en soutien direct à la coordination du programme de la COI</w:t>
            </w:r>
          </w:p>
          <w:p w14:paraId="51B697F2" w14:textId="77777777" w:rsidR="009F394A" w:rsidRPr="00AC3D8A" w:rsidRDefault="009F394A" w:rsidP="00AC3D8A">
            <w:pPr>
              <w:rPr>
                <w:rFonts w:eastAsia="Calibri" w:cstheme="minorHAnsi"/>
              </w:rPr>
            </w:pPr>
          </w:p>
          <w:p w14:paraId="64EFEE1D" w14:textId="77777777" w:rsidR="009F394A" w:rsidRPr="00AC3D8A" w:rsidRDefault="009F394A" w:rsidP="00AC3D8A">
            <w:pPr>
              <w:rPr>
                <w:rFonts w:eastAsia="Calibri" w:cstheme="minorHAnsi"/>
              </w:rPr>
            </w:pPr>
          </w:p>
          <w:p w14:paraId="638EA826" w14:textId="77777777" w:rsidR="009F394A" w:rsidRPr="00AC3D8A" w:rsidRDefault="00B14F11" w:rsidP="00AC3D8A">
            <w:pPr>
              <w:rPr>
                <w:rFonts w:eastAsia="Calibri" w:cstheme="minorHAnsi"/>
              </w:rPr>
            </w:pPr>
            <w:r w:rsidRPr="00AC3D8A">
              <w:rPr>
                <w:rFonts w:eastAsia="Calibri" w:cstheme="minorHAnsi"/>
                <w:lang w:val="fr"/>
              </w:rPr>
              <w:t>Le temps du personnel consacré à la coordination internationale des programmes et projets internationaux de la COI et de ses organes subsidiaires, par exemple la coordination internationale de l'IIOE2, de l'OceanOPS, de l'ITIC (International Tsunami Information Center) et du TPOS (Tropical Pacific Observing System) en tant que fonction de coordination du secrétariat</w:t>
            </w:r>
          </w:p>
          <w:p w14:paraId="72D59CEF" w14:textId="77777777" w:rsidR="009F394A" w:rsidRPr="00AC3D8A" w:rsidRDefault="009F394A" w:rsidP="00AC3D8A">
            <w:pPr>
              <w:rPr>
                <w:rFonts w:eastAsia="Calibri" w:cstheme="minorHAnsi"/>
              </w:rPr>
            </w:pPr>
          </w:p>
          <w:p w14:paraId="735ACEEA" w14:textId="77777777" w:rsidR="009F394A" w:rsidRDefault="00B14F11" w:rsidP="00AC3D8A">
            <w:pPr>
              <w:rPr>
                <w:rFonts w:eastAsia="Calibri" w:cstheme="minorHAnsi"/>
                <w:lang w:val="fr"/>
              </w:rPr>
            </w:pPr>
            <w:r w:rsidRPr="00AC3D8A">
              <w:rPr>
                <w:rFonts w:eastAsia="Calibri" w:cstheme="minorHAnsi"/>
                <w:lang w:val="fr"/>
              </w:rPr>
              <w:t>L'accueil de réunions du programme de la COI, y compris le coût du parrainage des participants d'autres pays</w:t>
            </w:r>
          </w:p>
          <w:p w14:paraId="07F26295" w14:textId="11AB4AA1" w:rsidR="00B14F11" w:rsidRPr="00AC3D8A" w:rsidRDefault="00B14F11" w:rsidP="00AC3D8A">
            <w:pPr>
              <w:rPr>
                <w:rFonts w:eastAsia="Calibri" w:cstheme="minorHAnsi"/>
              </w:rPr>
            </w:pPr>
          </w:p>
        </w:tc>
        <w:tc>
          <w:tcPr>
            <w:tcW w:w="4675" w:type="dxa"/>
          </w:tcPr>
          <w:p w14:paraId="78BC9503" w14:textId="77777777" w:rsidR="009F394A" w:rsidRPr="00AC3D8A" w:rsidRDefault="009F394A" w:rsidP="00AC3D8A">
            <w:pPr>
              <w:rPr>
                <w:rFonts w:eastAsia="Calibri" w:cstheme="minorHAnsi"/>
                <w:b/>
              </w:rPr>
            </w:pPr>
          </w:p>
          <w:p w14:paraId="75AD9EB4" w14:textId="77777777" w:rsidR="009F394A" w:rsidRPr="00AC3D8A" w:rsidRDefault="00B14F11" w:rsidP="00AC3D8A">
            <w:pPr>
              <w:rPr>
                <w:rFonts w:eastAsia="Calibri" w:cstheme="minorHAnsi"/>
              </w:rPr>
            </w:pPr>
            <w:r w:rsidRPr="00AC3D8A">
              <w:rPr>
                <w:rFonts w:eastAsia="Calibri" w:cstheme="minorHAnsi"/>
                <w:lang w:val="fr"/>
              </w:rPr>
              <w:t>Le coûts des bâtiments, des bureaux ou du personnel ou toute partie du temps qui n'est pas liée au travail programmatique de la COI, par exemple, les installations qui ont un double objectif ne peuvent faire état que des activités liées à la COI ou du temps du personnel</w:t>
            </w:r>
          </w:p>
          <w:p w14:paraId="20AE6118" w14:textId="77777777" w:rsidR="009F394A" w:rsidRPr="00AC3D8A" w:rsidRDefault="009F394A" w:rsidP="00AC3D8A">
            <w:pPr>
              <w:rPr>
                <w:rFonts w:eastAsia="Calibri" w:cstheme="minorHAnsi"/>
                <w:b/>
              </w:rPr>
            </w:pPr>
          </w:p>
          <w:p w14:paraId="5CCF9961" w14:textId="77777777" w:rsidR="009F394A" w:rsidRPr="00AC3D8A" w:rsidRDefault="00B14F11" w:rsidP="00AC3D8A">
            <w:pPr>
              <w:rPr>
                <w:rFonts w:eastAsia="Calibri" w:cstheme="minorHAnsi"/>
              </w:rPr>
            </w:pPr>
            <w:r w:rsidRPr="00AC3D8A">
              <w:rPr>
                <w:rFonts w:eastAsia="Calibri" w:cstheme="minorHAnsi"/>
                <w:lang w:val="fr"/>
              </w:rPr>
              <w:t>Les points de contact nationaux, scientifiques ou personnel technique travaillant sur la composante nationale d'un programme permanent de la COI ;</w:t>
            </w:r>
          </w:p>
          <w:p w14:paraId="233BF8E7" w14:textId="77777777" w:rsidR="009F394A" w:rsidRPr="00AC3D8A" w:rsidRDefault="00B14F11" w:rsidP="00AC3D8A">
            <w:pPr>
              <w:rPr>
                <w:rFonts w:eastAsia="Calibri" w:cstheme="minorHAnsi"/>
              </w:rPr>
            </w:pPr>
            <w:r w:rsidRPr="00AC3D8A">
              <w:rPr>
                <w:rFonts w:eastAsia="Calibri" w:cstheme="minorHAnsi"/>
                <w:lang w:val="fr"/>
              </w:rPr>
              <w:t>Les scientifiques nationaux ou le personnel technique siégeant dans les organes permanents techniques de la COI ou en tant que membre du bureau de ces organes, par exemple, membre ou responsable du groupe de coopération sur les bouées de mesure</w:t>
            </w:r>
          </w:p>
          <w:p w14:paraId="4EC88784" w14:textId="77777777" w:rsidR="009F394A" w:rsidRPr="00AC3D8A" w:rsidRDefault="009F394A" w:rsidP="00AC3D8A">
            <w:pPr>
              <w:rPr>
                <w:rFonts w:eastAsia="Calibri" w:cstheme="minorHAnsi"/>
              </w:rPr>
            </w:pPr>
          </w:p>
          <w:p w14:paraId="7E03A55F" w14:textId="77777777" w:rsidR="009F394A" w:rsidRPr="00AC3D8A" w:rsidRDefault="00B14F11" w:rsidP="00AC3D8A">
            <w:pPr>
              <w:rPr>
                <w:rFonts w:eastAsia="Calibri" w:cstheme="minorHAnsi"/>
              </w:rPr>
            </w:pPr>
            <w:r w:rsidRPr="00AC3D8A">
              <w:rPr>
                <w:rFonts w:eastAsia="Calibri" w:cstheme="minorHAnsi"/>
                <w:lang w:val="fr"/>
              </w:rPr>
              <w:t>Le coût des infrastructures physiques (navires, bouées, flotteurs, etc.) dans les programmes scientifiques internationaux, le soutien aux navires pour la formation en mer</w:t>
            </w:r>
          </w:p>
          <w:p w14:paraId="6CEC2638" w14:textId="77777777" w:rsidR="009F394A" w:rsidRPr="00AC3D8A" w:rsidRDefault="009F394A" w:rsidP="00AC3D8A">
            <w:pPr>
              <w:rPr>
                <w:rFonts w:eastAsia="Calibri" w:cstheme="minorHAnsi"/>
              </w:rPr>
            </w:pPr>
          </w:p>
          <w:p w14:paraId="3A832429" w14:textId="77777777" w:rsidR="009F394A" w:rsidRPr="00AC3D8A" w:rsidRDefault="009F394A" w:rsidP="00AC3D8A">
            <w:pPr>
              <w:rPr>
                <w:rFonts w:eastAsia="Calibri" w:cstheme="minorHAnsi"/>
              </w:rPr>
            </w:pPr>
          </w:p>
          <w:p w14:paraId="540F0F70" w14:textId="77777777" w:rsidR="009F394A" w:rsidRPr="00AC3D8A" w:rsidRDefault="009F394A" w:rsidP="00AC3D8A">
            <w:pPr>
              <w:rPr>
                <w:rFonts w:eastAsia="Calibri" w:cstheme="minorHAnsi"/>
              </w:rPr>
            </w:pPr>
          </w:p>
          <w:p w14:paraId="60D00DA8" w14:textId="77777777" w:rsidR="009F394A" w:rsidRPr="00AC3D8A" w:rsidRDefault="009F394A" w:rsidP="00AC3D8A">
            <w:pPr>
              <w:rPr>
                <w:rFonts w:eastAsia="Calibri" w:cstheme="minorHAnsi"/>
              </w:rPr>
            </w:pPr>
          </w:p>
          <w:p w14:paraId="28A8DB4C" w14:textId="77777777" w:rsidR="009F394A" w:rsidRPr="00AC3D8A" w:rsidRDefault="009F394A" w:rsidP="00AC3D8A">
            <w:pPr>
              <w:rPr>
                <w:rFonts w:eastAsia="Calibri" w:cstheme="minorHAnsi"/>
              </w:rPr>
            </w:pPr>
          </w:p>
          <w:p w14:paraId="70F1B059" w14:textId="77777777" w:rsidR="009F394A" w:rsidRPr="00AC3D8A" w:rsidRDefault="009F394A" w:rsidP="00AC3D8A">
            <w:pPr>
              <w:rPr>
                <w:rFonts w:eastAsia="Calibri" w:cstheme="minorHAnsi"/>
              </w:rPr>
            </w:pPr>
          </w:p>
          <w:p w14:paraId="030739F3" w14:textId="77777777" w:rsidR="009F394A" w:rsidRPr="00AC3D8A" w:rsidRDefault="00B14F11" w:rsidP="00AC3D8A">
            <w:pPr>
              <w:rPr>
                <w:rFonts w:eastAsia="Calibri" w:cstheme="minorHAnsi"/>
              </w:rPr>
            </w:pPr>
            <w:r w:rsidRPr="00AC3D8A">
              <w:rPr>
                <w:rFonts w:eastAsia="Calibri" w:cstheme="minorHAnsi"/>
                <w:lang w:val="fr"/>
              </w:rPr>
              <w:t>Les experts des États membres qui participent aux comités d'experts/groupes de travail</w:t>
            </w:r>
          </w:p>
          <w:p w14:paraId="4746DD3E" w14:textId="77777777" w:rsidR="009F394A" w:rsidRPr="00AC3D8A" w:rsidRDefault="009F394A" w:rsidP="00AC3D8A">
            <w:pPr>
              <w:rPr>
                <w:rFonts w:eastAsia="Calibri" w:cstheme="minorHAnsi"/>
              </w:rPr>
            </w:pPr>
          </w:p>
          <w:p w14:paraId="04A275B0" w14:textId="77777777" w:rsidR="009F394A" w:rsidRPr="00AC3D8A" w:rsidRDefault="009F394A" w:rsidP="00AC3D8A">
            <w:pPr>
              <w:rPr>
                <w:rFonts w:eastAsia="Calibri" w:cstheme="minorHAnsi"/>
              </w:rPr>
            </w:pPr>
          </w:p>
          <w:p w14:paraId="6789831A" w14:textId="77777777" w:rsidR="009F394A" w:rsidRPr="00AC3D8A" w:rsidRDefault="009F394A" w:rsidP="00AC3D8A">
            <w:pPr>
              <w:rPr>
                <w:rFonts w:eastAsia="Calibri" w:cstheme="minorHAnsi"/>
              </w:rPr>
            </w:pPr>
          </w:p>
          <w:p w14:paraId="2177760E" w14:textId="77777777" w:rsidR="009F394A" w:rsidRPr="00AC3D8A" w:rsidRDefault="00B14F11" w:rsidP="00AC3D8A">
            <w:pPr>
              <w:rPr>
                <w:rFonts w:eastAsia="Calibri" w:cstheme="minorHAnsi"/>
              </w:rPr>
            </w:pPr>
            <w:r w:rsidRPr="00AC3D8A">
              <w:rPr>
                <w:rFonts w:eastAsia="Calibri" w:cstheme="minorHAnsi"/>
                <w:lang w:val="fr"/>
              </w:rPr>
              <w:t>Le coût de la participation nationale à la réunion de la COI</w:t>
            </w:r>
          </w:p>
        </w:tc>
      </w:tr>
    </w:tbl>
    <w:p w14:paraId="295192D5" w14:textId="77777777" w:rsidR="009F394A" w:rsidRPr="00AC3D8A" w:rsidRDefault="009F394A" w:rsidP="00AC3D8A">
      <w:pPr>
        <w:rPr>
          <w:rFonts w:eastAsia="Calibri" w:cstheme="minorHAnsi"/>
          <w:b/>
        </w:rPr>
      </w:pPr>
    </w:p>
    <w:p w14:paraId="397AC913" w14:textId="77777777" w:rsidR="009F394A" w:rsidRPr="00AC3D8A" w:rsidRDefault="009F394A" w:rsidP="00AC3D8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3961" w:rsidRPr="00AC3D8A" w14:paraId="0277ACD0" w14:textId="77777777" w:rsidTr="00F5598E">
        <w:tc>
          <w:tcPr>
            <w:tcW w:w="9360" w:type="dxa"/>
            <w:shd w:val="clear" w:color="auto" w:fill="auto"/>
            <w:tcMar>
              <w:top w:w="100" w:type="dxa"/>
              <w:left w:w="100" w:type="dxa"/>
              <w:bottom w:w="100" w:type="dxa"/>
              <w:right w:w="100" w:type="dxa"/>
            </w:tcMar>
          </w:tcPr>
          <w:p w14:paraId="3680B39F" w14:textId="77777777" w:rsidR="009F394A" w:rsidRPr="00AC3D8A" w:rsidRDefault="00B14F11" w:rsidP="00AC3D8A">
            <w:pPr>
              <w:widowControl w:val="0"/>
              <w:pBdr>
                <w:top w:val="nil"/>
                <w:left w:val="nil"/>
                <w:bottom w:val="nil"/>
                <w:right w:val="nil"/>
                <w:between w:val="nil"/>
              </w:pBdr>
              <w:rPr>
                <w:rFonts w:eastAsia="Calibri" w:cstheme="minorHAnsi"/>
                <w:b/>
              </w:rPr>
            </w:pPr>
            <w:r w:rsidRPr="00AC3D8A">
              <w:rPr>
                <w:rFonts w:eastAsia="Calibri" w:cstheme="minorHAnsi"/>
                <w:b/>
                <w:bCs/>
                <w:lang w:val="fr"/>
              </w:rPr>
              <w:t>2. Dispositions formalisées pour lesquelles établir des rapport pour la gestion du programme par des contributions en nature</w:t>
            </w:r>
          </w:p>
        </w:tc>
      </w:tr>
    </w:tbl>
    <w:p w14:paraId="442D5711" w14:textId="77777777" w:rsidR="009F394A" w:rsidRPr="00AC3D8A" w:rsidRDefault="009F394A" w:rsidP="00AC3D8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F3961" w:rsidRPr="00AC3D8A" w14:paraId="7013B058" w14:textId="77777777" w:rsidTr="00F5598E">
        <w:trPr>
          <w:trHeight w:val="447"/>
        </w:trPr>
        <w:tc>
          <w:tcPr>
            <w:tcW w:w="4680" w:type="dxa"/>
          </w:tcPr>
          <w:p w14:paraId="1A72072A" w14:textId="77777777" w:rsidR="009F394A" w:rsidRPr="00AC3D8A" w:rsidRDefault="00B14F11" w:rsidP="00AC3D8A">
            <w:pPr>
              <w:rPr>
                <w:rFonts w:eastAsia="Calibri" w:cstheme="minorHAnsi"/>
                <w:b/>
              </w:rPr>
            </w:pPr>
            <w:r w:rsidRPr="00AC3D8A">
              <w:rPr>
                <w:rFonts w:eastAsia="Calibri" w:cstheme="minorHAnsi"/>
                <w:b/>
                <w:bCs/>
                <w:lang w:val="fr"/>
              </w:rPr>
              <w:t>Établir un rapport pour votre pays ou votre organisation</w:t>
            </w:r>
          </w:p>
        </w:tc>
        <w:tc>
          <w:tcPr>
            <w:tcW w:w="4680" w:type="dxa"/>
          </w:tcPr>
          <w:p w14:paraId="23899486" w14:textId="77777777" w:rsidR="009F394A" w:rsidRPr="00AC3D8A" w:rsidRDefault="00B14F11" w:rsidP="00AC3D8A">
            <w:pPr>
              <w:rPr>
                <w:rFonts w:eastAsia="Calibri" w:cstheme="minorHAnsi"/>
                <w:b/>
              </w:rPr>
            </w:pPr>
            <w:r w:rsidRPr="00AC3D8A">
              <w:rPr>
                <w:rFonts w:eastAsia="Calibri" w:cstheme="minorHAnsi"/>
                <w:b/>
                <w:bCs/>
                <w:lang w:val="fr"/>
              </w:rPr>
              <w:t>Ne pas établir de rapport</w:t>
            </w:r>
          </w:p>
        </w:tc>
      </w:tr>
      <w:tr w:rsidR="004F3961" w:rsidRPr="00AC3D8A" w14:paraId="6F2B9A1F" w14:textId="77777777" w:rsidTr="00F5598E">
        <w:tc>
          <w:tcPr>
            <w:tcW w:w="4680" w:type="dxa"/>
            <w:shd w:val="clear" w:color="auto" w:fill="auto"/>
            <w:tcMar>
              <w:top w:w="100" w:type="dxa"/>
              <w:left w:w="100" w:type="dxa"/>
              <w:bottom w:w="100" w:type="dxa"/>
              <w:right w:w="100" w:type="dxa"/>
            </w:tcMar>
          </w:tcPr>
          <w:p w14:paraId="3E610DBD" w14:textId="77777777" w:rsidR="009F394A" w:rsidRPr="00AC3D8A" w:rsidRDefault="00B14F11" w:rsidP="00AC3D8A">
            <w:pPr>
              <w:rPr>
                <w:rFonts w:eastAsia="Calibri" w:cstheme="minorHAnsi"/>
                <w:b/>
              </w:rPr>
            </w:pPr>
            <w:r w:rsidRPr="00AC3D8A">
              <w:rPr>
                <w:rFonts w:eastAsia="Calibri" w:cstheme="minorHAnsi"/>
                <w:lang w:val="fr"/>
              </w:rPr>
              <w:lastRenderedPageBreak/>
              <w:t>Les activités qui soutiennent directement les besoins de la mission opérationnelle de la COI par le biais d'un arrangement ou d'une désignation formelle (Prestataire de services pour les tsunamis)</w:t>
            </w:r>
          </w:p>
        </w:tc>
        <w:tc>
          <w:tcPr>
            <w:tcW w:w="4680" w:type="dxa"/>
            <w:shd w:val="clear" w:color="auto" w:fill="auto"/>
            <w:tcMar>
              <w:top w:w="100" w:type="dxa"/>
              <w:left w:w="100" w:type="dxa"/>
              <w:bottom w:w="100" w:type="dxa"/>
              <w:right w:w="100" w:type="dxa"/>
            </w:tcMar>
          </w:tcPr>
          <w:p w14:paraId="2C58E98C" w14:textId="77777777" w:rsidR="009F394A" w:rsidRPr="00AC3D8A" w:rsidRDefault="00B14F11" w:rsidP="00AC3D8A">
            <w:pPr>
              <w:rPr>
                <w:rFonts w:eastAsia="Calibri" w:cstheme="minorHAnsi"/>
              </w:rPr>
            </w:pPr>
            <w:r w:rsidRPr="00AC3D8A">
              <w:rPr>
                <w:rFonts w:eastAsia="Calibri" w:cstheme="minorHAnsi"/>
                <w:lang w:val="fr"/>
              </w:rPr>
              <w:t>Les activités, y compris les systèmes d'observation des océans et d'alerte rapide, qui soutiennent principalement les intérêts nationaux uniquement</w:t>
            </w:r>
          </w:p>
          <w:p w14:paraId="6A046A30" w14:textId="77777777" w:rsidR="009F394A" w:rsidRPr="00AC3D8A" w:rsidRDefault="009F394A" w:rsidP="00AC3D8A">
            <w:pPr>
              <w:rPr>
                <w:rFonts w:eastAsia="Calibri" w:cstheme="minorHAnsi"/>
              </w:rPr>
            </w:pPr>
          </w:p>
          <w:p w14:paraId="466A9478" w14:textId="77777777" w:rsidR="009F394A" w:rsidRPr="00AC3D8A" w:rsidRDefault="00B14F11" w:rsidP="00AC3D8A">
            <w:pPr>
              <w:rPr>
                <w:rFonts w:eastAsia="Calibri" w:cstheme="minorHAnsi"/>
              </w:rPr>
            </w:pPr>
            <w:r w:rsidRPr="00AC3D8A">
              <w:rPr>
                <w:rFonts w:eastAsia="Calibri" w:cstheme="minorHAnsi"/>
                <w:lang w:val="fr"/>
              </w:rPr>
              <w:t>Le coût des infrastructures physiques (navires, bouées, flotteurs, etc.) dans les programmes scientifiques internationaux, le soutien aux navires pour la formation en mer</w:t>
            </w:r>
          </w:p>
          <w:p w14:paraId="01CEA20E" w14:textId="77777777" w:rsidR="009F394A" w:rsidRPr="00AC3D8A" w:rsidRDefault="009F394A" w:rsidP="00AC3D8A">
            <w:pPr>
              <w:rPr>
                <w:rFonts w:eastAsia="Calibri" w:cstheme="minorHAnsi"/>
              </w:rPr>
            </w:pPr>
          </w:p>
        </w:tc>
      </w:tr>
    </w:tbl>
    <w:p w14:paraId="76C48974" w14:textId="77777777" w:rsidR="009F394A" w:rsidRPr="00AC3D8A" w:rsidRDefault="009F394A" w:rsidP="00AC3D8A">
      <w:pPr>
        <w:rPr>
          <w:rFonts w:eastAsia="Calibri" w:cstheme="minorHAnsi"/>
          <w:b/>
        </w:rPr>
      </w:pPr>
    </w:p>
    <w:p w14:paraId="6CDA1129"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MODÈLE POUR LES CONTRIBUTIONS EN NATURE</w:t>
      </w:r>
    </w:p>
    <w:p w14:paraId="04D15300" w14:textId="77777777" w:rsidR="009F394A" w:rsidRPr="00AC3D8A" w:rsidRDefault="00B14F11" w:rsidP="00AC3D8A">
      <w:pPr>
        <w:spacing w:after="240"/>
        <w:jc w:val="both"/>
        <w:rPr>
          <w:rFonts w:eastAsia="Calibri" w:cstheme="minorHAnsi"/>
          <w:color w:val="1F497D"/>
        </w:rPr>
      </w:pPr>
      <w:r w:rsidRPr="00AC3D8A">
        <w:rPr>
          <w:rFonts w:eastAsia="Roboto" w:cstheme="minorHAnsi"/>
          <w:color w:val="3C4043"/>
          <w:lang w:val="fr"/>
        </w:rPr>
        <w:t xml:space="preserve">Le Secrétariat enverra des demandes d'informations actualisées sur les contributions en nature pour l'année civile aux États membres par le biais de lettres circulaires annuelles en juin/juillet. La réponse sera demandée avant le 31 janvier de l'année suivante.  </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3240"/>
        <w:gridCol w:w="1710"/>
      </w:tblGrid>
      <w:tr w:rsidR="004F3961" w:rsidRPr="00AC3D8A" w14:paraId="10C14E11" w14:textId="77777777" w:rsidTr="009F394A">
        <w:trPr>
          <w:jc w:val="center"/>
        </w:trPr>
        <w:tc>
          <w:tcPr>
            <w:tcW w:w="8005" w:type="dxa"/>
            <w:gridSpan w:val="4"/>
          </w:tcPr>
          <w:p w14:paraId="6D69D946"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COMMISSION OCÉANOGRAPHIQUE INTERGOUVERNEMENTALE</w:t>
            </w:r>
          </w:p>
        </w:tc>
      </w:tr>
      <w:tr w:rsidR="004F3961" w:rsidRPr="00AC3D8A" w14:paraId="41BC8C7B" w14:textId="77777777" w:rsidTr="009F394A">
        <w:trPr>
          <w:jc w:val="center"/>
        </w:trPr>
        <w:tc>
          <w:tcPr>
            <w:tcW w:w="8005" w:type="dxa"/>
            <w:gridSpan w:val="4"/>
          </w:tcPr>
          <w:p w14:paraId="62DC8A8F"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Contributions en nature fournies au cours de l'année civile 2xxx</w:t>
            </w:r>
          </w:p>
        </w:tc>
      </w:tr>
      <w:tr w:rsidR="004F3961" w:rsidRPr="00AC3D8A" w14:paraId="38B93ED8" w14:textId="77777777" w:rsidTr="009F394A">
        <w:trPr>
          <w:jc w:val="center"/>
        </w:trPr>
        <w:tc>
          <w:tcPr>
            <w:tcW w:w="1705" w:type="dxa"/>
          </w:tcPr>
          <w:p w14:paraId="7966202C"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Donateur</w:t>
            </w:r>
          </w:p>
        </w:tc>
        <w:tc>
          <w:tcPr>
            <w:tcW w:w="1350" w:type="dxa"/>
          </w:tcPr>
          <w:p w14:paraId="5DED41DA"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w:t>
            </w:r>
          </w:p>
        </w:tc>
        <w:tc>
          <w:tcPr>
            <w:tcW w:w="3240" w:type="dxa"/>
          </w:tcPr>
          <w:p w14:paraId="72042A6C"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Objectif</w:t>
            </w:r>
          </w:p>
        </w:tc>
        <w:tc>
          <w:tcPr>
            <w:tcW w:w="1710" w:type="dxa"/>
          </w:tcPr>
          <w:p w14:paraId="24DC7675" w14:textId="77777777" w:rsidR="009F394A" w:rsidRPr="00AC3D8A" w:rsidRDefault="00B14F11" w:rsidP="00AC3D8A">
            <w:pPr>
              <w:spacing w:after="240"/>
              <w:jc w:val="both"/>
              <w:rPr>
                <w:rFonts w:eastAsia="Calibri" w:cstheme="minorHAnsi"/>
                <w:b/>
              </w:rPr>
            </w:pPr>
            <w:r w:rsidRPr="00AC3D8A">
              <w:rPr>
                <w:rFonts w:eastAsia="Calibri" w:cstheme="minorHAnsi"/>
                <w:b/>
                <w:bCs/>
                <w:lang w:val="fr"/>
              </w:rPr>
              <w:t>Fonction de la COI</w:t>
            </w:r>
          </w:p>
        </w:tc>
      </w:tr>
      <w:tr w:rsidR="004F3961" w:rsidRPr="00AC3D8A" w14:paraId="57EFEC58" w14:textId="77777777" w:rsidTr="009F394A">
        <w:trPr>
          <w:jc w:val="center"/>
        </w:trPr>
        <w:tc>
          <w:tcPr>
            <w:tcW w:w="1705" w:type="dxa"/>
          </w:tcPr>
          <w:p w14:paraId="35ACC43A" w14:textId="77777777" w:rsidR="009F394A" w:rsidRPr="00AC3D8A" w:rsidRDefault="009F394A" w:rsidP="00AC3D8A">
            <w:pPr>
              <w:spacing w:after="240"/>
              <w:jc w:val="both"/>
              <w:rPr>
                <w:rFonts w:eastAsia="Calibri" w:cstheme="minorHAnsi"/>
                <w:b/>
              </w:rPr>
            </w:pPr>
          </w:p>
        </w:tc>
        <w:tc>
          <w:tcPr>
            <w:tcW w:w="1350" w:type="dxa"/>
          </w:tcPr>
          <w:p w14:paraId="3FF0C428" w14:textId="77777777" w:rsidR="009F394A" w:rsidRPr="00AC3D8A" w:rsidRDefault="009F394A" w:rsidP="00AC3D8A">
            <w:pPr>
              <w:spacing w:after="240"/>
              <w:jc w:val="both"/>
              <w:rPr>
                <w:rFonts w:eastAsia="Calibri" w:cstheme="minorHAnsi"/>
                <w:b/>
              </w:rPr>
            </w:pPr>
          </w:p>
        </w:tc>
        <w:tc>
          <w:tcPr>
            <w:tcW w:w="3240" w:type="dxa"/>
          </w:tcPr>
          <w:p w14:paraId="12A1F944" w14:textId="77777777" w:rsidR="009F394A" w:rsidRPr="00AC3D8A" w:rsidRDefault="009F394A" w:rsidP="00AC3D8A">
            <w:pPr>
              <w:spacing w:after="240"/>
              <w:jc w:val="both"/>
              <w:rPr>
                <w:rFonts w:eastAsia="Calibri" w:cstheme="minorHAnsi"/>
                <w:b/>
              </w:rPr>
            </w:pPr>
          </w:p>
        </w:tc>
        <w:tc>
          <w:tcPr>
            <w:tcW w:w="1710" w:type="dxa"/>
          </w:tcPr>
          <w:p w14:paraId="6AE46B29" w14:textId="77777777" w:rsidR="009F394A" w:rsidRPr="00AC3D8A" w:rsidRDefault="009F394A" w:rsidP="00AC3D8A">
            <w:pPr>
              <w:spacing w:after="240"/>
              <w:jc w:val="both"/>
              <w:rPr>
                <w:rFonts w:eastAsia="Calibri" w:cstheme="minorHAnsi"/>
                <w:b/>
              </w:rPr>
            </w:pPr>
          </w:p>
        </w:tc>
      </w:tr>
      <w:tr w:rsidR="004F3961" w:rsidRPr="00AC3D8A" w14:paraId="1230F18C" w14:textId="77777777" w:rsidTr="009F394A">
        <w:trPr>
          <w:jc w:val="center"/>
        </w:trPr>
        <w:tc>
          <w:tcPr>
            <w:tcW w:w="1705" w:type="dxa"/>
          </w:tcPr>
          <w:p w14:paraId="2A4ACDE7" w14:textId="77777777" w:rsidR="009F394A" w:rsidRPr="00AC3D8A" w:rsidRDefault="009F394A" w:rsidP="00AC3D8A">
            <w:pPr>
              <w:spacing w:after="240"/>
              <w:jc w:val="both"/>
              <w:rPr>
                <w:rFonts w:eastAsia="Calibri" w:cstheme="minorHAnsi"/>
                <w:b/>
              </w:rPr>
            </w:pPr>
          </w:p>
        </w:tc>
        <w:tc>
          <w:tcPr>
            <w:tcW w:w="1350" w:type="dxa"/>
          </w:tcPr>
          <w:p w14:paraId="12C9D9E8" w14:textId="77777777" w:rsidR="009F394A" w:rsidRPr="00AC3D8A" w:rsidRDefault="009F394A" w:rsidP="00AC3D8A">
            <w:pPr>
              <w:spacing w:after="240"/>
              <w:jc w:val="both"/>
              <w:rPr>
                <w:rFonts w:eastAsia="Calibri" w:cstheme="minorHAnsi"/>
                <w:b/>
              </w:rPr>
            </w:pPr>
          </w:p>
        </w:tc>
        <w:tc>
          <w:tcPr>
            <w:tcW w:w="3240" w:type="dxa"/>
          </w:tcPr>
          <w:p w14:paraId="64B95B97" w14:textId="77777777" w:rsidR="009F394A" w:rsidRPr="00AC3D8A" w:rsidRDefault="009F394A" w:rsidP="00AC3D8A">
            <w:pPr>
              <w:spacing w:after="240"/>
              <w:jc w:val="both"/>
              <w:rPr>
                <w:rFonts w:eastAsia="Calibri" w:cstheme="minorHAnsi"/>
                <w:b/>
              </w:rPr>
            </w:pPr>
          </w:p>
        </w:tc>
        <w:tc>
          <w:tcPr>
            <w:tcW w:w="1710" w:type="dxa"/>
          </w:tcPr>
          <w:p w14:paraId="35FBA68B" w14:textId="77777777" w:rsidR="009F394A" w:rsidRPr="00AC3D8A" w:rsidRDefault="009F394A" w:rsidP="00AC3D8A">
            <w:pPr>
              <w:spacing w:after="240"/>
              <w:jc w:val="both"/>
              <w:rPr>
                <w:rFonts w:eastAsia="Calibri" w:cstheme="minorHAnsi"/>
                <w:b/>
              </w:rPr>
            </w:pPr>
          </w:p>
        </w:tc>
      </w:tr>
    </w:tbl>
    <w:p w14:paraId="7AAF5389" w14:textId="77777777" w:rsidR="009F394A" w:rsidRPr="00AC3D8A" w:rsidRDefault="009F394A" w:rsidP="00AC3D8A">
      <w:pPr>
        <w:spacing w:after="240"/>
        <w:jc w:val="both"/>
        <w:rPr>
          <w:rFonts w:eastAsia="Calibri" w:cstheme="minorHAnsi"/>
          <w:color w:val="1F497D"/>
        </w:rPr>
      </w:pPr>
    </w:p>
    <w:p w14:paraId="33249A25" w14:textId="77777777" w:rsidR="009F394A" w:rsidRPr="00AC3D8A" w:rsidRDefault="00B14F11" w:rsidP="00AC3D8A">
      <w:pPr>
        <w:spacing w:after="240"/>
        <w:jc w:val="both"/>
        <w:rPr>
          <w:rFonts w:eastAsia="Calibri" w:cstheme="minorHAnsi"/>
          <w:color w:val="1F497D"/>
        </w:rPr>
      </w:pPr>
      <w:r w:rsidRPr="00AC3D8A">
        <w:rPr>
          <w:rFonts w:eastAsia="Calibri" w:cstheme="minorHAnsi"/>
          <w:color w:val="1F497D"/>
          <w:lang w:val="fr"/>
        </w:rPr>
        <w:t>Date limite de soumission - 31 janvier de l'année suivante.</w:t>
      </w:r>
    </w:p>
    <w:p w14:paraId="1E3A3C29" w14:textId="77777777" w:rsidR="009F394A" w:rsidRPr="00F02A0F" w:rsidRDefault="00B14F11" w:rsidP="00AC3D8A">
      <w:pPr>
        <w:spacing w:after="240"/>
        <w:jc w:val="both"/>
        <w:rPr>
          <w:rFonts w:eastAsia="Calibri" w:cstheme="minorHAnsi"/>
        </w:rPr>
      </w:pPr>
      <w:r w:rsidRPr="00AC3D8A">
        <w:rPr>
          <w:rFonts w:eastAsia="Calibri" w:cstheme="minorHAnsi"/>
          <w:u w:val="single"/>
          <w:lang w:val="fr"/>
        </w:rPr>
        <w:t>Note </w:t>
      </w:r>
      <w:r w:rsidRPr="00AC3D8A">
        <w:rPr>
          <w:rFonts w:eastAsia="Calibri" w:cstheme="minorHAnsi"/>
          <w:lang w:val="fr"/>
        </w:rPr>
        <w:t>:  La distinction entre deux catégories distinctes de contributions en nature pourrait nécessiter une discussion plus approfondie.  La frontière entre les deux catégories peut être très mince, sauf pour les contributions informelles en nature, comme l'accueil d'un voyage ou d'un atelier.</w:t>
      </w:r>
    </w:p>
    <w:p w14:paraId="3B22A5A5" w14:textId="77777777" w:rsidR="009F394A" w:rsidRPr="000102B7" w:rsidRDefault="009F394A" w:rsidP="00AC3D8A">
      <w:pPr>
        <w:pStyle w:val="Default"/>
        <w:snapToGrid w:val="0"/>
        <w:spacing w:after="240"/>
        <w:jc w:val="both"/>
        <w:rPr>
          <w:rFonts w:asciiTheme="minorHAnsi" w:hAnsiTheme="minorHAnsi" w:cstheme="minorHAnsi"/>
          <w:b/>
          <w:color w:val="000000" w:themeColor="text1"/>
          <w:sz w:val="22"/>
          <w:szCs w:val="22"/>
        </w:rPr>
      </w:pPr>
    </w:p>
    <w:p w14:paraId="3B397FFC" w14:textId="77777777" w:rsidR="006805F7" w:rsidRPr="00A3408F" w:rsidRDefault="006805F7" w:rsidP="00AC3D8A">
      <w:pPr>
        <w:spacing w:after="240"/>
        <w:jc w:val="both"/>
        <w:rPr>
          <w:rFonts w:cs="Arial"/>
          <w:szCs w:val="22"/>
        </w:rPr>
      </w:pPr>
    </w:p>
    <w:sectPr w:rsidR="006805F7" w:rsidRPr="00A3408F" w:rsidSect="003F7186">
      <w:headerReference w:type="even" r:id="rId32"/>
      <w:headerReference w:type="default" r:id="rId33"/>
      <w:headerReference w:type="first" r:id="rId3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0839" w14:textId="77777777" w:rsidR="00C33BF9" w:rsidRDefault="00B14F11">
      <w:r>
        <w:separator/>
      </w:r>
    </w:p>
  </w:endnote>
  <w:endnote w:type="continuationSeparator" w:id="0">
    <w:p w14:paraId="0BFCF8A1" w14:textId="77777777" w:rsidR="00C33BF9" w:rsidRDefault="00B1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90BB" w14:textId="77777777" w:rsidR="0031156B" w:rsidRDefault="0031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F1DB" w14:textId="77777777" w:rsidR="0031156B" w:rsidRDefault="00311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917" w14:textId="77777777" w:rsidR="0031156B" w:rsidRDefault="0031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C69B" w14:textId="77777777" w:rsidR="00C33BF9" w:rsidRDefault="00B14F11">
      <w:r>
        <w:separator/>
      </w:r>
    </w:p>
  </w:footnote>
  <w:footnote w:type="continuationSeparator" w:id="0">
    <w:p w14:paraId="6BCD0687" w14:textId="77777777" w:rsidR="00C33BF9" w:rsidRDefault="00B1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A347" w14:textId="77777777" w:rsidR="00441140" w:rsidRPr="00C962F0" w:rsidRDefault="00B14F11">
    <w:pPr>
      <w:pStyle w:val="Header"/>
      <w:rPr>
        <w:szCs w:val="22"/>
      </w:rPr>
    </w:pPr>
    <w:r>
      <w:rPr>
        <w:szCs w:val="22"/>
        <w:lang w:val="fr"/>
      </w:rPr>
      <w:t>ICG/CARIBE-EWS II/WD </w:t>
    </w:r>
    <w:r>
      <w:rPr>
        <w:szCs w:val="22"/>
        <w:highlight w:val="cyan"/>
        <w:lang w:val="fr"/>
      </w:rPr>
      <w:t>__</w:t>
    </w:r>
  </w:p>
  <w:p w14:paraId="0A949B63" w14:textId="77777777" w:rsidR="00441140" w:rsidRPr="00C962F0" w:rsidRDefault="00B14F1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10D37" w14:textId="77777777" w:rsidR="00441140" w:rsidRPr="00746B89" w:rsidRDefault="00B14F11" w:rsidP="00DF2FB9">
    <w:pPr>
      <w:pStyle w:val="Header"/>
      <w:tabs>
        <w:tab w:val="clear" w:pos="8306"/>
      </w:tabs>
      <w:rPr>
        <w:szCs w:val="22"/>
      </w:rPr>
    </w:pPr>
    <w:r>
      <w:rPr>
        <w:szCs w:val="22"/>
        <w:lang w:val="fr"/>
      </w:rPr>
      <w:t xml:space="preserve">IOC-XXIV/2 Annexe </w:t>
    </w:r>
    <w:r>
      <w:rPr>
        <w:szCs w:val="22"/>
        <w:highlight w:val="yellow"/>
        <w:lang w:val="fr"/>
      </w:rPr>
      <w:t>__</w:t>
    </w:r>
  </w:p>
  <w:p w14:paraId="18B4BADF" w14:textId="77777777" w:rsidR="00441140" w:rsidRPr="00746B89" w:rsidRDefault="00B14F1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6871B6DB"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BA48" w14:textId="77777777" w:rsidR="00441140" w:rsidRPr="005E544C" w:rsidRDefault="00B14F11" w:rsidP="00980BE0">
    <w:pPr>
      <w:pStyle w:val="Marge"/>
      <w:tabs>
        <w:tab w:val="left" w:pos="7230"/>
        <w:tab w:val="left" w:pos="8080"/>
      </w:tabs>
      <w:spacing w:after="0"/>
      <w:rPr>
        <w:rFonts w:cs="Arial"/>
        <w:b/>
        <w:szCs w:val="22"/>
      </w:rPr>
    </w:pPr>
    <w:r>
      <w:rPr>
        <w:lang w:val="fr"/>
      </w:rPr>
      <w:tab/>
    </w:r>
  </w:p>
  <w:p w14:paraId="7C21504B" w14:textId="77777777" w:rsidR="000156E0" w:rsidRPr="007D1933" w:rsidRDefault="00B14F11" w:rsidP="007D1933">
    <w:pPr>
      <w:pStyle w:val="Marge"/>
      <w:tabs>
        <w:tab w:val="left" w:pos="6663"/>
        <w:tab w:val="left" w:pos="8080"/>
      </w:tabs>
      <w:spacing w:after="0"/>
      <w:rPr>
        <w:rFonts w:cs="Arial"/>
        <w:b/>
        <w:sz w:val="36"/>
        <w:szCs w:val="36"/>
      </w:rPr>
    </w:pPr>
    <w:r>
      <w:rPr>
        <w:rFonts w:cs="Arial"/>
        <w:szCs w:val="22"/>
        <w:lang w:val="fr"/>
      </w:rPr>
      <w:t>Distribution limitée</w:t>
    </w:r>
    <w:r>
      <w:rPr>
        <w:rFonts w:cs="Arial"/>
        <w:szCs w:val="22"/>
        <w:lang w:val="fr"/>
      </w:rPr>
      <w:tab/>
    </w:r>
    <w:r>
      <w:rPr>
        <w:rFonts w:cs="Arial"/>
        <w:b/>
        <w:bCs/>
        <w:sz w:val="36"/>
        <w:szCs w:val="36"/>
        <w:lang w:val="fr"/>
      </w:rPr>
      <w:t>IOC/A-31/4.3.Doc</w:t>
    </w:r>
  </w:p>
  <w:p w14:paraId="25123C11" w14:textId="77777777" w:rsidR="000156E0" w:rsidRPr="005E544C" w:rsidRDefault="00B14F11" w:rsidP="007D1933">
    <w:pPr>
      <w:tabs>
        <w:tab w:val="clear" w:pos="567"/>
        <w:tab w:val="left" w:pos="6663"/>
        <w:tab w:val="left" w:pos="8080"/>
      </w:tabs>
      <w:rPr>
        <w:rFonts w:cs="Arial"/>
        <w:szCs w:val="22"/>
      </w:rPr>
    </w:pPr>
    <w:r>
      <w:rPr>
        <w:rFonts w:cs="Arial"/>
        <w:szCs w:val="22"/>
        <w:lang w:val="fr"/>
      </w:rPr>
      <w:tab/>
      <w:t xml:space="preserve">Paris, le 11 juin 2021 </w:t>
    </w:r>
  </w:p>
  <w:p w14:paraId="47972487" w14:textId="77777777" w:rsidR="000156E0" w:rsidRPr="005E544C" w:rsidRDefault="00B14F11" w:rsidP="007D1933">
    <w:pPr>
      <w:tabs>
        <w:tab w:val="clear" w:pos="567"/>
        <w:tab w:val="left" w:pos="6663"/>
        <w:tab w:val="left" w:pos="8080"/>
      </w:tabs>
      <w:rPr>
        <w:rFonts w:cs="Arial"/>
        <w:szCs w:val="22"/>
      </w:rPr>
    </w:pPr>
    <w:r>
      <w:rPr>
        <w:rFonts w:cs="Arial"/>
        <w:szCs w:val="22"/>
        <w:lang w:val="fr"/>
      </w:rPr>
      <w:tab/>
      <w:t>Original :</w:t>
    </w:r>
    <w:r>
      <w:rPr>
        <w:rFonts w:cs="Arial"/>
        <w:b/>
        <w:bCs/>
        <w:szCs w:val="22"/>
        <w:lang w:val="fr"/>
      </w:rPr>
      <w:t xml:space="preserve"> </w:t>
    </w:r>
    <w:r>
      <w:rPr>
        <w:rFonts w:cs="Arial"/>
        <w:szCs w:val="22"/>
        <w:lang w:val="fr"/>
      </w:rPr>
      <w:t xml:space="preserve">Anglais </w:t>
    </w:r>
  </w:p>
  <w:p w14:paraId="0C612C68" w14:textId="77777777" w:rsidR="000156E0" w:rsidRPr="005E544C" w:rsidRDefault="000156E0" w:rsidP="00980BE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06F151B3" w14:textId="77777777" w:rsidR="000156E0" w:rsidRPr="005E544C" w:rsidRDefault="00B14F11"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r>
      <w:rPr>
        <w:noProof/>
        <w:lang w:val="fr"/>
      </w:rPr>
      <w:drawing>
        <wp:anchor distT="0" distB="0" distL="114300" distR="114300" simplePos="0" relativeHeight="251658240" behindDoc="1" locked="0" layoutInCell="1" allowOverlap="1" wp14:anchorId="40CC478B" wp14:editId="77E1743D">
          <wp:simplePos x="0" y="0"/>
          <wp:positionH relativeFrom="column">
            <wp:posOffset>-102135</wp:posOffset>
          </wp:positionH>
          <wp:positionV relativeFrom="paragraph">
            <wp:posOffset>161925</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93004"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7F12D" w14:textId="77777777" w:rsidR="000156E0" w:rsidRPr="00010BBB" w:rsidRDefault="00B14F11"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b/>
        <w:bCs/>
        <w:sz w:val="24"/>
        <w:lang w:val="fr"/>
      </w:rPr>
      <w:t>COMMISSION OCÉANOGRAPHIQUE INTERGOUVERNEMENTALE</w:t>
    </w:r>
  </w:p>
  <w:p w14:paraId="614C518B" w14:textId="77777777" w:rsidR="000156E0" w:rsidRPr="003561BE" w:rsidRDefault="00B14F11"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fr"/>
      </w:rPr>
      <w:t>(de l'UNESCO)</w:t>
    </w:r>
  </w:p>
  <w:p w14:paraId="47E127A0"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23B9EEB5"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F075778" w14:textId="77777777" w:rsidR="000156E0" w:rsidRPr="00BF254D" w:rsidRDefault="00B14F11"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fr"/>
      </w:rPr>
      <w:t>Trente et unième session de l'Assemblée</w:t>
    </w:r>
  </w:p>
  <w:p w14:paraId="47B35589" w14:textId="77777777" w:rsidR="000156E0" w:rsidRDefault="00B14F11"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Pr>
        <w:rFonts w:cs="Arial"/>
        <w:lang w:val="fr"/>
      </w:rPr>
      <w:t>UNESCO, 14-25 juin 2021 (en ligne)</w:t>
    </w:r>
  </w:p>
  <w:p w14:paraId="45E5326D"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04CC4848" w14:textId="77777777" w:rsidR="000156E0" w:rsidRPr="005E544C" w:rsidRDefault="000156E0" w:rsidP="000156E0">
    <w:pPr>
      <w:jc w:val="center"/>
      <w:rPr>
        <w:rFonts w:cs="Arial"/>
        <w:szCs w:val="22"/>
      </w:rPr>
    </w:pPr>
  </w:p>
  <w:p w14:paraId="2BFDACFA" w14:textId="77777777" w:rsidR="000156E0" w:rsidRDefault="000156E0" w:rsidP="000156E0">
    <w:pPr>
      <w:jc w:val="center"/>
      <w:rPr>
        <w:rFonts w:cs="Arial"/>
        <w:szCs w:val="22"/>
      </w:rPr>
    </w:pPr>
  </w:p>
  <w:p w14:paraId="3DE1BCDA" w14:textId="77777777" w:rsidR="000156E0" w:rsidRDefault="000156E0" w:rsidP="000156E0">
    <w:pPr>
      <w:jc w:val="center"/>
      <w:rPr>
        <w:rFonts w:cs="Arial"/>
        <w:szCs w:val="22"/>
      </w:rPr>
    </w:pPr>
  </w:p>
  <w:p w14:paraId="1816BC5B" w14:textId="77777777" w:rsidR="000156E0" w:rsidRDefault="000156E0" w:rsidP="000156E0">
    <w:pPr>
      <w:jc w:val="center"/>
      <w:rPr>
        <w:rFonts w:cs="Arial"/>
        <w:szCs w:val="22"/>
      </w:rPr>
    </w:pPr>
  </w:p>
  <w:p w14:paraId="3B44BBA3" w14:textId="77777777" w:rsidR="000156E0" w:rsidRPr="005E544C" w:rsidRDefault="000156E0" w:rsidP="000156E0">
    <w:pPr>
      <w:jc w:val="center"/>
      <w:rPr>
        <w:rFonts w:cs="Arial"/>
        <w:szCs w:val="22"/>
      </w:rPr>
    </w:pPr>
  </w:p>
  <w:p w14:paraId="56DF281E" w14:textId="77777777" w:rsidR="000156E0" w:rsidRPr="005E544C" w:rsidRDefault="000156E0" w:rsidP="000156E0">
    <w:pPr>
      <w:jc w:val="center"/>
      <w:rPr>
        <w:rFonts w:cs="Arial"/>
        <w:szCs w:val="22"/>
      </w:rPr>
    </w:pPr>
  </w:p>
  <w:p w14:paraId="4A12E0D0" w14:textId="77777777" w:rsidR="000156E0" w:rsidRPr="008D2398" w:rsidRDefault="00B14F11" w:rsidP="001370E4">
    <w:pPr>
      <w:pStyle w:val="Heading7"/>
      <w:tabs>
        <w:tab w:val="left" w:pos="6915"/>
      </w:tabs>
      <w:spacing w:line="240" w:lineRule="auto"/>
      <w:rPr>
        <w:rFonts w:cs="Arial"/>
        <w:sz w:val="24"/>
        <w:u w:val="none"/>
      </w:rPr>
    </w:pPr>
    <w:r>
      <w:rPr>
        <w:rFonts w:cs="Arial"/>
        <w:sz w:val="24"/>
        <w:lang w:val="fr"/>
      </w:rPr>
      <w:t>Point </w:t>
    </w:r>
    <w:r>
      <w:rPr>
        <w:rFonts w:cs="Arial"/>
        <w:b/>
        <w:bCs/>
        <w:sz w:val="24"/>
        <w:lang w:val="fr"/>
      </w:rPr>
      <w:t>4.3</w:t>
    </w:r>
    <w:r>
      <w:rPr>
        <w:rFonts w:cs="Arial"/>
        <w:sz w:val="24"/>
        <w:lang w:val="fr"/>
      </w:rPr>
      <w:t xml:space="preserve"> de l'ordre du jour provisoire</w:t>
    </w:r>
  </w:p>
  <w:p w14:paraId="51476434" w14:textId="77777777" w:rsidR="000156E0" w:rsidRPr="005E544C" w:rsidRDefault="000156E0" w:rsidP="000156E0">
    <w:pPr>
      <w:rPr>
        <w:rFonts w:cs="Arial"/>
        <w:szCs w:val="22"/>
      </w:rPr>
    </w:pPr>
  </w:p>
  <w:p w14:paraId="3ADBF429" w14:textId="77777777" w:rsidR="00441140" w:rsidRPr="005E544C" w:rsidRDefault="00441140" w:rsidP="00DF2FB9">
    <w:pPr>
      <w:rPr>
        <w:rFonts w:cs="Arial"/>
        <w:szCs w:val="22"/>
      </w:rPr>
    </w:pPr>
  </w:p>
  <w:p w14:paraId="2332977F" w14:textId="77777777" w:rsidR="00980BE0" w:rsidRPr="007D1933" w:rsidRDefault="00B14F11" w:rsidP="00515584">
    <w:pPr>
      <w:pStyle w:val="Docheading"/>
      <w:spacing w:after="0"/>
    </w:pPr>
    <w:r>
      <w:rPr>
        <w:lang w:val="fr"/>
      </w:rPr>
      <w:t>Rapport du PRÉSIDENT</w:t>
    </w:r>
  </w:p>
  <w:p w14:paraId="66EAAB5E" w14:textId="77777777" w:rsidR="00441140" w:rsidRPr="007D1933" w:rsidRDefault="00B14F11" w:rsidP="00515584">
    <w:pPr>
      <w:pStyle w:val="Docheading"/>
      <w:spacing w:after="0"/>
    </w:pPr>
    <w:r>
      <w:rPr>
        <w:lang w:val="fr"/>
      </w:rPr>
      <w:t xml:space="preserve"> DU GROUPE CONSULTATIF FINANCIER INTERSESSIONS </w:t>
    </w:r>
    <w:r>
      <w:rPr>
        <w:b w:val="0"/>
        <w:bCs w:val="0"/>
        <w:lang w:val="fr"/>
      </w:rPr>
      <w:br/>
    </w:r>
  </w:p>
  <w:p w14:paraId="53BD12E2" w14:textId="77777777" w:rsidR="00441140" w:rsidRPr="00515584" w:rsidRDefault="00441140" w:rsidP="00DF2FB9">
    <w:pPr>
      <w:pStyle w:val="Header"/>
      <w:rPr>
        <w:rFonts w:cs="Arial"/>
        <w:b/>
        <w:szCs w:val="22"/>
      </w:rPr>
    </w:pPr>
  </w:p>
  <w:p w14:paraId="178A4ADC"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385C" w14:textId="77777777" w:rsidR="00441140" w:rsidRPr="006842FA" w:rsidRDefault="00B14F11" w:rsidP="00746B89">
    <w:pPr>
      <w:pStyle w:val="Header"/>
      <w:tabs>
        <w:tab w:val="clear" w:pos="8306"/>
      </w:tabs>
      <w:rPr>
        <w:rFonts w:cs="Arial"/>
        <w:sz w:val="20"/>
        <w:szCs w:val="20"/>
      </w:rPr>
    </w:pPr>
    <w:r>
      <w:rPr>
        <w:rFonts w:cs="Arial"/>
        <w:sz w:val="20"/>
        <w:szCs w:val="20"/>
        <w:lang w:val="fr"/>
      </w:rPr>
      <w:t>IOC/A-31/4.3.Doc</w:t>
    </w:r>
  </w:p>
  <w:p w14:paraId="5B1F1722" w14:textId="77777777" w:rsidR="00441140" w:rsidRPr="006842FA" w:rsidRDefault="00B14F11"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2ACE" w14:textId="77777777" w:rsidR="0037249C" w:rsidRPr="006842FA" w:rsidRDefault="00B14F11" w:rsidP="00980BE0">
    <w:pPr>
      <w:pStyle w:val="Header"/>
      <w:tabs>
        <w:tab w:val="clear" w:pos="8306"/>
      </w:tabs>
      <w:ind w:firstLine="7797"/>
      <w:rPr>
        <w:rFonts w:cs="Arial"/>
        <w:sz w:val="20"/>
        <w:szCs w:val="20"/>
      </w:rPr>
    </w:pPr>
    <w:r>
      <w:rPr>
        <w:rFonts w:cs="Arial"/>
        <w:sz w:val="20"/>
        <w:szCs w:val="20"/>
        <w:lang w:val="fr"/>
      </w:rPr>
      <w:t>IOC/A-31/4.3.Doc</w:t>
    </w:r>
  </w:p>
  <w:p w14:paraId="59320756" w14:textId="77777777" w:rsidR="0037249C" w:rsidRPr="006842FA" w:rsidRDefault="00B14F11" w:rsidP="00980BE0">
    <w:pPr>
      <w:pStyle w:val="Header"/>
      <w:tabs>
        <w:tab w:val="clear" w:pos="8306"/>
      </w:tabs>
      <w:ind w:firstLine="7797"/>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5</w:t>
    </w:r>
    <w:r>
      <w:rPr>
        <w:rStyle w:val="PageNumber"/>
        <w:rFonts w:cs="Arial"/>
        <w:sz w:val="20"/>
        <w:szCs w:val="20"/>
        <w:lang w:val="fr"/>
      </w:rPr>
      <w:fldChar w:fldCharType="end"/>
    </w:r>
  </w:p>
  <w:p w14:paraId="6F505AA9"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3B66" w14:textId="77777777" w:rsidR="00441140" w:rsidRDefault="00B14F11" w:rsidP="00980BE0">
    <w:pPr>
      <w:pStyle w:val="Header"/>
      <w:tabs>
        <w:tab w:val="clear" w:pos="8306"/>
      </w:tabs>
      <w:ind w:right="400"/>
      <w:jc w:val="right"/>
      <w:rPr>
        <w:rFonts w:cs="Arial"/>
        <w:sz w:val="20"/>
        <w:szCs w:val="20"/>
      </w:rPr>
    </w:pPr>
    <w:r>
      <w:rPr>
        <w:rFonts w:cs="Arial"/>
        <w:sz w:val="20"/>
        <w:szCs w:val="20"/>
        <w:lang w:val="fr"/>
      </w:rPr>
      <w:t>IOC/A-31/4.3.Doc</w:t>
    </w:r>
  </w:p>
  <w:p w14:paraId="52517E1D" w14:textId="77777777" w:rsidR="00307660" w:rsidRPr="006842FA" w:rsidRDefault="00B14F11" w:rsidP="00980BE0">
    <w:pPr>
      <w:pStyle w:val="Header"/>
      <w:ind w:left="7655"/>
      <w:rPr>
        <w:rFonts w:cs="Arial"/>
        <w:sz w:val="20"/>
        <w:szCs w:val="20"/>
      </w:rPr>
    </w:pPr>
    <w:r>
      <w:rPr>
        <w:rFonts w:cs="Arial"/>
        <w:sz w:val="20"/>
        <w:szCs w:val="20"/>
        <w:lang w:val="fr"/>
      </w:rPr>
      <w:t>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3D5A33"/>
    <w:multiLevelType w:val="hybridMultilevel"/>
    <w:tmpl w:val="F2F2E444"/>
    <w:lvl w:ilvl="0" w:tplc="F6863108">
      <w:start w:val="1"/>
      <w:numFmt w:val="upperRoman"/>
      <w:lvlText w:val="%1."/>
      <w:lvlJc w:val="left"/>
      <w:pPr>
        <w:ind w:left="1080" w:hanging="720"/>
      </w:pPr>
      <w:rPr>
        <w:rFonts w:hint="default"/>
        <w:i w:val="0"/>
        <w:iCs/>
      </w:rPr>
    </w:lvl>
    <w:lvl w:ilvl="1" w:tplc="5B68175A" w:tentative="1">
      <w:start w:val="1"/>
      <w:numFmt w:val="lowerLetter"/>
      <w:lvlText w:val="%2."/>
      <w:lvlJc w:val="left"/>
      <w:pPr>
        <w:ind w:left="1440" w:hanging="360"/>
      </w:pPr>
    </w:lvl>
    <w:lvl w:ilvl="2" w:tplc="2D7A1670" w:tentative="1">
      <w:start w:val="1"/>
      <w:numFmt w:val="lowerRoman"/>
      <w:lvlText w:val="%3."/>
      <w:lvlJc w:val="right"/>
      <w:pPr>
        <w:ind w:left="2160" w:hanging="180"/>
      </w:pPr>
    </w:lvl>
    <w:lvl w:ilvl="3" w:tplc="25C687C8" w:tentative="1">
      <w:start w:val="1"/>
      <w:numFmt w:val="decimal"/>
      <w:lvlText w:val="%4."/>
      <w:lvlJc w:val="left"/>
      <w:pPr>
        <w:ind w:left="2880" w:hanging="360"/>
      </w:pPr>
    </w:lvl>
    <w:lvl w:ilvl="4" w:tplc="7B54BC3C" w:tentative="1">
      <w:start w:val="1"/>
      <w:numFmt w:val="lowerLetter"/>
      <w:lvlText w:val="%5."/>
      <w:lvlJc w:val="left"/>
      <w:pPr>
        <w:ind w:left="3600" w:hanging="360"/>
      </w:pPr>
    </w:lvl>
    <w:lvl w:ilvl="5" w:tplc="FCFAA972" w:tentative="1">
      <w:start w:val="1"/>
      <w:numFmt w:val="lowerRoman"/>
      <w:lvlText w:val="%6."/>
      <w:lvlJc w:val="right"/>
      <w:pPr>
        <w:ind w:left="4320" w:hanging="180"/>
      </w:pPr>
    </w:lvl>
    <w:lvl w:ilvl="6" w:tplc="1BA62426" w:tentative="1">
      <w:start w:val="1"/>
      <w:numFmt w:val="decimal"/>
      <w:lvlText w:val="%7."/>
      <w:lvlJc w:val="left"/>
      <w:pPr>
        <w:ind w:left="5040" w:hanging="360"/>
      </w:pPr>
    </w:lvl>
    <w:lvl w:ilvl="7" w:tplc="2C0E7FD6" w:tentative="1">
      <w:start w:val="1"/>
      <w:numFmt w:val="lowerLetter"/>
      <w:lvlText w:val="%8."/>
      <w:lvlJc w:val="left"/>
      <w:pPr>
        <w:ind w:left="5760" w:hanging="360"/>
      </w:pPr>
    </w:lvl>
    <w:lvl w:ilvl="8" w:tplc="AD88BD9E" w:tentative="1">
      <w:start w:val="1"/>
      <w:numFmt w:val="lowerRoman"/>
      <w:lvlText w:val="%9."/>
      <w:lvlJc w:val="right"/>
      <w:pPr>
        <w:ind w:left="6480" w:hanging="180"/>
      </w:p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63AC"/>
    <w:multiLevelType w:val="hybridMultilevel"/>
    <w:tmpl w:val="2506A2EE"/>
    <w:lvl w:ilvl="0" w:tplc="38FEB92C">
      <w:start w:val="1"/>
      <w:numFmt w:val="bullet"/>
      <w:pStyle w:val="ListBullet2"/>
      <w:lvlText w:val=""/>
      <w:lvlJc w:val="left"/>
      <w:pPr>
        <w:tabs>
          <w:tab w:val="num" w:pos="851"/>
        </w:tabs>
        <w:ind w:left="851" w:hanging="284"/>
      </w:pPr>
      <w:rPr>
        <w:rFonts w:ascii="Symbol" w:hAnsi="Symbol" w:hint="default"/>
      </w:rPr>
    </w:lvl>
    <w:lvl w:ilvl="1" w:tplc="756626B2" w:tentative="1">
      <w:start w:val="1"/>
      <w:numFmt w:val="bullet"/>
      <w:lvlText w:val="o"/>
      <w:lvlJc w:val="left"/>
      <w:pPr>
        <w:tabs>
          <w:tab w:val="num" w:pos="1440"/>
        </w:tabs>
        <w:ind w:left="1440" w:hanging="360"/>
      </w:pPr>
      <w:rPr>
        <w:rFonts w:ascii="Courier New" w:hAnsi="Courier New" w:cs="Courier New" w:hint="default"/>
      </w:rPr>
    </w:lvl>
    <w:lvl w:ilvl="2" w:tplc="E8F22C94" w:tentative="1">
      <w:start w:val="1"/>
      <w:numFmt w:val="bullet"/>
      <w:lvlText w:val=""/>
      <w:lvlJc w:val="left"/>
      <w:pPr>
        <w:tabs>
          <w:tab w:val="num" w:pos="2160"/>
        </w:tabs>
        <w:ind w:left="2160" w:hanging="360"/>
      </w:pPr>
      <w:rPr>
        <w:rFonts w:ascii="Wingdings" w:hAnsi="Wingdings" w:hint="default"/>
      </w:rPr>
    </w:lvl>
    <w:lvl w:ilvl="3" w:tplc="B2F86D60" w:tentative="1">
      <w:start w:val="1"/>
      <w:numFmt w:val="bullet"/>
      <w:lvlText w:val=""/>
      <w:lvlJc w:val="left"/>
      <w:pPr>
        <w:tabs>
          <w:tab w:val="num" w:pos="2880"/>
        </w:tabs>
        <w:ind w:left="2880" w:hanging="360"/>
      </w:pPr>
      <w:rPr>
        <w:rFonts w:ascii="Symbol" w:hAnsi="Symbol" w:hint="default"/>
      </w:rPr>
    </w:lvl>
    <w:lvl w:ilvl="4" w:tplc="7C5A0FAC" w:tentative="1">
      <w:start w:val="1"/>
      <w:numFmt w:val="bullet"/>
      <w:lvlText w:val="o"/>
      <w:lvlJc w:val="left"/>
      <w:pPr>
        <w:tabs>
          <w:tab w:val="num" w:pos="3600"/>
        </w:tabs>
        <w:ind w:left="3600" w:hanging="360"/>
      </w:pPr>
      <w:rPr>
        <w:rFonts w:ascii="Courier New" w:hAnsi="Courier New" w:cs="Courier New" w:hint="default"/>
      </w:rPr>
    </w:lvl>
    <w:lvl w:ilvl="5" w:tplc="74CEA1CC" w:tentative="1">
      <w:start w:val="1"/>
      <w:numFmt w:val="bullet"/>
      <w:lvlText w:val=""/>
      <w:lvlJc w:val="left"/>
      <w:pPr>
        <w:tabs>
          <w:tab w:val="num" w:pos="4320"/>
        </w:tabs>
        <w:ind w:left="4320" w:hanging="360"/>
      </w:pPr>
      <w:rPr>
        <w:rFonts w:ascii="Wingdings" w:hAnsi="Wingdings" w:hint="default"/>
      </w:rPr>
    </w:lvl>
    <w:lvl w:ilvl="6" w:tplc="81BEDDFA" w:tentative="1">
      <w:start w:val="1"/>
      <w:numFmt w:val="bullet"/>
      <w:lvlText w:val=""/>
      <w:lvlJc w:val="left"/>
      <w:pPr>
        <w:tabs>
          <w:tab w:val="num" w:pos="5040"/>
        </w:tabs>
        <w:ind w:left="5040" w:hanging="360"/>
      </w:pPr>
      <w:rPr>
        <w:rFonts w:ascii="Symbol" w:hAnsi="Symbol" w:hint="default"/>
      </w:rPr>
    </w:lvl>
    <w:lvl w:ilvl="7" w:tplc="4364AF30" w:tentative="1">
      <w:start w:val="1"/>
      <w:numFmt w:val="bullet"/>
      <w:lvlText w:val="o"/>
      <w:lvlJc w:val="left"/>
      <w:pPr>
        <w:tabs>
          <w:tab w:val="num" w:pos="5760"/>
        </w:tabs>
        <w:ind w:left="5760" w:hanging="360"/>
      </w:pPr>
      <w:rPr>
        <w:rFonts w:ascii="Courier New" w:hAnsi="Courier New" w:cs="Courier New" w:hint="default"/>
      </w:rPr>
    </w:lvl>
    <w:lvl w:ilvl="8" w:tplc="37762D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52973"/>
    <w:multiLevelType w:val="hybridMultilevel"/>
    <w:tmpl w:val="B5FC1906"/>
    <w:lvl w:ilvl="0" w:tplc="9BB4EA9C">
      <w:numFmt w:val="bullet"/>
      <w:lvlText w:val="-"/>
      <w:lvlJc w:val="left"/>
      <w:pPr>
        <w:ind w:left="720" w:hanging="360"/>
      </w:pPr>
      <w:rPr>
        <w:rFonts w:ascii="Arial" w:eastAsia="Arial Unicode MS" w:hAnsi="Arial" w:cs="Arial" w:hint="default"/>
      </w:rPr>
    </w:lvl>
    <w:lvl w:ilvl="1" w:tplc="19983238" w:tentative="1">
      <w:start w:val="1"/>
      <w:numFmt w:val="bullet"/>
      <w:lvlText w:val="o"/>
      <w:lvlJc w:val="left"/>
      <w:pPr>
        <w:ind w:left="1440" w:hanging="360"/>
      </w:pPr>
      <w:rPr>
        <w:rFonts w:ascii="Courier New" w:hAnsi="Courier New" w:cs="Courier New" w:hint="default"/>
      </w:rPr>
    </w:lvl>
    <w:lvl w:ilvl="2" w:tplc="DE0625E6" w:tentative="1">
      <w:start w:val="1"/>
      <w:numFmt w:val="bullet"/>
      <w:lvlText w:val=""/>
      <w:lvlJc w:val="left"/>
      <w:pPr>
        <w:ind w:left="2160" w:hanging="360"/>
      </w:pPr>
      <w:rPr>
        <w:rFonts w:ascii="Wingdings" w:hAnsi="Wingdings" w:hint="default"/>
      </w:rPr>
    </w:lvl>
    <w:lvl w:ilvl="3" w:tplc="4BC8A20E" w:tentative="1">
      <w:start w:val="1"/>
      <w:numFmt w:val="bullet"/>
      <w:lvlText w:val=""/>
      <w:lvlJc w:val="left"/>
      <w:pPr>
        <w:ind w:left="2880" w:hanging="360"/>
      </w:pPr>
      <w:rPr>
        <w:rFonts w:ascii="Symbol" w:hAnsi="Symbol" w:hint="default"/>
      </w:rPr>
    </w:lvl>
    <w:lvl w:ilvl="4" w:tplc="696E0F10" w:tentative="1">
      <w:start w:val="1"/>
      <w:numFmt w:val="bullet"/>
      <w:lvlText w:val="o"/>
      <w:lvlJc w:val="left"/>
      <w:pPr>
        <w:ind w:left="3600" w:hanging="360"/>
      </w:pPr>
      <w:rPr>
        <w:rFonts w:ascii="Courier New" w:hAnsi="Courier New" w:cs="Courier New" w:hint="default"/>
      </w:rPr>
    </w:lvl>
    <w:lvl w:ilvl="5" w:tplc="5B22B0FA" w:tentative="1">
      <w:start w:val="1"/>
      <w:numFmt w:val="bullet"/>
      <w:lvlText w:val=""/>
      <w:lvlJc w:val="left"/>
      <w:pPr>
        <w:ind w:left="4320" w:hanging="360"/>
      </w:pPr>
      <w:rPr>
        <w:rFonts w:ascii="Wingdings" w:hAnsi="Wingdings" w:hint="default"/>
      </w:rPr>
    </w:lvl>
    <w:lvl w:ilvl="6" w:tplc="F6F265B0" w:tentative="1">
      <w:start w:val="1"/>
      <w:numFmt w:val="bullet"/>
      <w:lvlText w:val=""/>
      <w:lvlJc w:val="left"/>
      <w:pPr>
        <w:ind w:left="5040" w:hanging="360"/>
      </w:pPr>
      <w:rPr>
        <w:rFonts w:ascii="Symbol" w:hAnsi="Symbol" w:hint="default"/>
      </w:rPr>
    </w:lvl>
    <w:lvl w:ilvl="7" w:tplc="83049B7E" w:tentative="1">
      <w:start w:val="1"/>
      <w:numFmt w:val="bullet"/>
      <w:lvlText w:val="o"/>
      <w:lvlJc w:val="left"/>
      <w:pPr>
        <w:ind w:left="5760" w:hanging="360"/>
      </w:pPr>
      <w:rPr>
        <w:rFonts w:ascii="Courier New" w:hAnsi="Courier New" w:cs="Courier New" w:hint="default"/>
      </w:rPr>
    </w:lvl>
    <w:lvl w:ilvl="8" w:tplc="D690CC00"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2542DE32">
      <w:start w:val="1"/>
      <w:numFmt w:val="bullet"/>
      <w:lvlText w:val=""/>
      <w:lvlJc w:val="left"/>
      <w:pPr>
        <w:tabs>
          <w:tab w:val="num" w:pos="360"/>
        </w:tabs>
        <w:ind w:left="284" w:hanging="284"/>
      </w:pPr>
      <w:rPr>
        <w:rFonts w:ascii="Symbol" w:hAnsi="Symbol" w:hint="default"/>
      </w:rPr>
    </w:lvl>
    <w:lvl w:ilvl="1" w:tplc="D458DAA0">
      <w:start w:val="1"/>
      <w:numFmt w:val="bullet"/>
      <w:lvlText w:val="o"/>
      <w:lvlJc w:val="left"/>
      <w:pPr>
        <w:tabs>
          <w:tab w:val="num" w:pos="1157"/>
        </w:tabs>
        <w:ind w:left="1157" w:hanging="360"/>
      </w:pPr>
      <w:rPr>
        <w:rFonts w:ascii="Courier New" w:hAnsi="Courier New" w:hint="default"/>
      </w:rPr>
    </w:lvl>
    <w:lvl w:ilvl="2" w:tplc="EC96BFE4" w:tentative="1">
      <w:start w:val="1"/>
      <w:numFmt w:val="bullet"/>
      <w:lvlText w:val=""/>
      <w:lvlJc w:val="left"/>
      <w:pPr>
        <w:tabs>
          <w:tab w:val="num" w:pos="1877"/>
        </w:tabs>
        <w:ind w:left="1877" w:hanging="360"/>
      </w:pPr>
      <w:rPr>
        <w:rFonts w:ascii="Wingdings" w:hAnsi="Wingdings" w:hint="default"/>
      </w:rPr>
    </w:lvl>
    <w:lvl w:ilvl="3" w:tplc="0FB04A00" w:tentative="1">
      <w:start w:val="1"/>
      <w:numFmt w:val="bullet"/>
      <w:lvlText w:val=""/>
      <w:lvlJc w:val="left"/>
      <w:pPr>
        <w:tabs>
          <w:tab w:val="num" w:pos="2597"/>
        </w:tabs>
        <w:ind w:left="2597" w:hanging="360"/>
      </w:pPr>
      <w:rPr>
        <w:rFonts w:ascii="Symbol" w:hAnsi="Symbol" w:hint="default"/>
      </w:rPr>
    </w:lvl>
    <w:lvl w:ilvl="4" w:tplc="723CC8CA" w:tentative="1">
      <w:start w:val="1"/>
      <w:numFmt w:val="bullet"/>
      <w:lvlText w:val="o"/>
      <w:lvlJc w:val="left"/>
      <w:pPr>
        <w:tabs>
          <w:tab w:val="num" w:pos="3317"/>
        </w:tabs>
        <w:ind w:left="3317" w:hanging="360"/>
      </w:pPr>
      <w:rPr>
        <w:rFonts w:ascii="Courier New" w:hAnsi="Courier New" w:hint="default"/>
      </w:rPr>
    </w:lvl>
    <w:lvl w:ilvl="5" w:tplc="9D74169A" w:tentative="1">
      <w:start w:val="1"/>
      <w:numFmt w:val="bullet"/>
      <w:lvlText w:val=""/>
      <w:lvlJc w:val="left"/>
      <w:pPr>
        <w:tabs>
          <w:tab w:val="num" w:pos="4037"/>
        </w:tabs>
        <w:ind w:left="4037" w:hanging="360"/>
      </w:pPr>
      <w:rPr>
        <w:rFonts w:ascii="Wingdings" w:hAnsi="Wingdings" w:hint="default"/>
      </w:rPr>
    </w:lvl>
    <w:lvl w:ilvl="6" w:tplc="59FEBC8C" w:tentative="1">
      <w:start w:val="1"/>
      <w:numFmt w:val="bullet"/>
      <w:lvlText w:val=""/>
      <w:lvlJc w:val="left"/>
      <w:pPr>
        <w:tabs>
          <w:tab w:val="num" w:pos="4757"/>
        </w:tabs>
        <w:ind w:left="4757" w:hanging="360"/>
      </w:pPr>
      <w:rPr>
        <w:rFonts w:ascii="Symbol" w:hAnsi="Symbol" w:hint="default"/>
      </w:rPr>
    </w:lvl>
    <w:lvl w:ilvl="7" w:tplc="F0709396" w:tentative="1">
      <w:start w:val="1"/>
      <w:numFmt w:val="bullet"/>
      <w:lvlText w:val="o"/>
      <w:lvlJc w:val="left"/>
      <w:pPr>
        <w:tabs>
          <w:tab w:val="num" w:pos="5477"/>
        </w:tabs>
        <w:ind w:left="5477" w:hanging="360"/>
      </w:pPr>
      <w:rPr>
        <w:rFonts w:ascii="Courier New" w:hAnsi="Courier New" w:hint="default"/>
      </w:rPr>
    </w:lvl>
    <w:lvl w:ilvl="8" w:tplc="83A6FB5A"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08B5D50"/>
    <w:multiLevelType w:val="hybridMultilevel"/>
    <w:tmpl w:val="72964D36"/>
    <w:lvl w:ilvl="0" w:tplc="EA1CBF0E">
      <w:start w:val="1"/>
      <w:numFmt w:val="decimal"/>
      <w:lvlText w:val="%1."/>
      <w:lvlJc w:val="left"/>
      <w:pPr>
        <w:ind w:left="720" w:hanging="360"/>
      </w:pPr>
      <w:rPr>
        <w:rFonts w:asciiTheme="minorBidi" w:hAnsiTheme="minorBidi" w:cstheme="minorBidi" w:hint="default"/>
        <w:sz w:val="22"/>
        <w:szCs w:val="22"/>
      </w:rPr>
    </w:lvl>
    <w:lvl w:ilvl="1" w:tplc="29EA7294" w:tentative="1">
      <w:start w:val="1"/>
      <w:numFmt w:val="lowerLetter"/>
      <w:lvlText w:val="%2."/>
      <w:lvlJc w:val="left"/>
      <w:pPr>
        <w:ind w:left="1440" w:hanging="360"/>
      </w:pPr>
    </w:lvl>
    <w:lvl w:ilvl="2" w:tplc="260ABF4E" w:tentative="1">
      <w:start w:val="1"/>
      <w:numFmt w:val="lowerRoman"/>
      <w:lvlText w:val="%3."/>
      <w:lvlJc w:val="right"/>
      <w:pPr>
        <w:ind w:left="2160" w:hanging="180"/>
      </w:pPr>
    </w:lvl>
    <w:lvl w:ilvl="3" w:tplc="B7E07F04" w:tentative="1">
      <w:start w:val="1"/>
      <w:numFmt w:val="decimal"/>
      <w:lvlText w:val="%4."/>
      <w:lvlJc w:val="left"/>
      <w:pPr>
        <w:ind w:left="2880" w:hanging="360"/>
      </w:pPr>
    </w:lvl>
    <w:lvl w:ilvl="4" w:tplc="457E7FE6" w:tentative="1">
      <w:start w:val="1"/>
      <w:numFmt w:val="lowerLetter"/>
      <w:lvlText w:val="%5."/>
      <w:lvlJc w:val="left"/>
      <w:pPr>
        <w:ind w:left="3600" w:hanging="360"/>
      </w:pPr>
    </w:lvl>
    <w:lvl w:ilvl="5" w:tplc="0958C5FA" w:tentative="1">
      <w:start w:val="1"/>
      <w:numFmt w:val="lowerRoman"/>
      <w:lvlText w:val="%6."/>
      <w:lvlJc w:val="right"/>
      <w:pPr>
        <w:ind w:left="4320" w:hanging="180"/>
      </w:pPr>
    </w:lvl>
    <w:lvl w:ilvl="6" w:tplc="98DEF508" w:tentative="1">
      <w:start w:val="1"/>
      <w:numFmt w:val="decimal"/>
      <w:lvlText w:val="%7."/>
      <w:lvlJc w:val="left"/>
      <w:pPr>
        <w:ind w:left="5040" w:hanging="360"/>
      </w:pPr>
    </w:lvl>
    <w:lvl w:ilvl="7" w:tplc="E1B43572" w:tentative="1">
      <w:start w:val="1"/>
      <w:numFmt w:val="lowerLetter"/>
      <w:lvlText w:val="%8."/>
      <w:lvlJc w:val="left"/>
      <w:pPr>
        <w:ind w:left="5760" w:hanging="360"/>
      </w:pPr>
    </w:lvl>
    <w:lvl w:ilvl="8" w:tplc="B2B2F8EC" w:tentative="1">
      <w:start w:val="1"/>
      <w:numFmt w:val="lowerRoman"/>
      <w:lvlText w:val="%9."/>
      <w:lvlJc w:val="right"/>
      <w:pPr>
        <w:ind w:left="6480" w:hanging="180"/>
      </w:pPr>
    </w:lvl>
  </w:abstractNum>
  <w:abstractNum w:abstractNumId="7" w15:restartNumberingAfterBreak="0">
    <w:nsid w:val="1A0E3347"/>
    <w:multiLevelType w:val="hybridMultilevel"/>
    <w:tmpl w:val="B3E02086"/>
    <w:lvl w:ilvl="0" w:tplc="69765182">
      <w:start w:val="1"/>
      <w:numFmt w:val="decimal"/>
      <w:lvlText w:val="%1."/>
      <w:lvlJc w:val="left"/>
      <w:pPr>
        <w:ind w:left="720" w:hanging="360"/>
      </w:pPr>
      <w:rPr>
        <w:b w:val="0"/>
        <w:bCs w:val="0"/>
      </w:rPr>
    </w:lvl>
    <w:lvl w:ilvl="1" w:tplc="38DA6590" w:tentative="1">
      <w:start w:val="1"/>
      <w:numFmt w:val="lowerLetter"/>
      <w:lvlText w:val="%2."/>
      <w:lvlJc w:val="left"/>
      <w:pPr>
        <w:ind w:left="1440" w:hanging="360"/>
      </w:pPr>
    </w:lvl>
    <w:lvl w:ilvl="2" w:tplc="C7327F44" w:tentative="1">
      <w:start w:val="1"/>
      <w:numFmt w:val="lowerRoman"/>
      <w:lvlText w:val="%3."/>
      <w:lvlJc w:val="right"/>
      <w:pPr>
        <w:ind w:left="2160" w:hanging="180"/>
      </w:pPr>
    </w:lvl>
    <w:lvl w:ilvl="3" w:tplc="F954ACC4" w:tentative="1">
      <w:start w:val="1"/>
      <w:numFmt w:val="decimal"/>
      <w:lvlText w:val="%4."/>
      <w:lvlJc w:val="left"/>
      <w:pPr>
        <w:ind w:left="2880" w:hanging="360"/>
      </w:pPr>
    </w:lvl>
    <w:lvl w:ilvl="4" w:tplc="70C253E0" w:tentative="1">
      <w:start w:val="1"/>
      <w:numFmt w:val="lowerLetter"/>
      <w:lvlText w:val="%5."/>
      <w:lvlJc w:val="left"/>
      <w:pPr>
        <w:ind w:left="3600" w:hanging="360"/>
      </w:pPr>
    </w:lvl>
    <w:lvl w:ilvl="5" w:tplc="1C60E956" w:tentative="1">
      <w:start w:val="1"/>
      <w:numFmt w:val="lowerRoman"/>
      <w:lvlText w:val="%6."/>
      <w:lvlJc w:val="right"/>
      <w:pPr>
        <w:ind w:left="4320" w:hanging="180"/>
      </w:pPr>
    </w:lvl>
    <w:lvl w:ilvl="6" w:tplc="36F83720" w:tentative="1">
      <w:start w:val="1"/>
      <w:numFmt w:val="decimal"/>
      <w:lvlText w:val="%7."/>
      <w:lvlJc w:val="left"/>
      <w:pPr>
        <w:ind w:left="5040" w:hanging="360"/>
      </w:pPr>
    </w:lvl>
    <w:lvl w:ilvl="7" w:tplc="33906888" w:tentative="1">
      <w:start w:val="1"/>
      <w:numFmt w:val="lowerLetter"/>
      <w:lvlText w:val="%8."/>
      <w:lvlJc w:val="left"/>
      <w:pPr>
        <w:ind w:left="5760" w:hanging="360"/>
      </w:pPr>
    </w:lvl>
    <w:lvl w:ilvl="8" w:tplc="BC12992A" w:tentative="1">
      <w:start w:val="1"/>
      <w:numFmt w:val="lowerRoman"/>
      <w:lvlText w:val="%9."/>
      <w:lvlJc w:val="right"/>
      <w:pPr>
        <w:ind w:left="6480" w:hanging="180"/>
      </w:pPr>
    </w:lvl>
  </w:abstractNum>
  <w:abstractNum w:abstractNumId="8" w15:restartNumberingAfterBreak="0">
    <w:nsid w:val="1BC33398"/>
    <w:multiLevelType w:val="hybridMultilevel"/>
    <w:tmpl w:val="C5B4333E"/>
    <w:lvl w:ilvl="0" w:tplc="95C04D50">
      <w:start w:val="1"/>
      <w:numFmt w:val="decimal"/>
      <w:lvlText w:val="%1."/>
      <w:lvlJc w:val="left"/>
      <w:pPr>
        <w:ind w:left="720" w:hanging="360"/>
      </w:pPr>
      <w:rPr>
        <w:rFonts w:ascii="Arial" w:hAnsi="Arial" w:cs="Arial" w:hint="default"/>
        <w:b w:val="0"/>
        <w:bCs/>
        <w:i/>
        <w:sz w:val="22"/>
        <w:szCs w:val="22"/>
        <w:lang w:val="en-US"/>
      </w:rPr>
    </w:lvl>
    <w:lvl w:ilvl="1" w:tplc="500415D2" w:tentative="1">
      <w:start w:val="1"/>
      <w:numFmt w:val="lowerLetter"/>
      <w:lvlText w:val="%2."/>
      <w:lvlJc w:val="left"/>
      <w:pPr>
        <w:ind w:left="1440" w:hanging="360"/>
      </w:pPr>
    </w:lvl>
    <w:lvl w:ilvl="2" w:tplc="832466BE" w:tentative="1">
      <w:start w:val="1"/>
      <w:numFmt w:val="lowerRoman"/>
      <w:lvlText w:val="%3."/>
      <w:lvlJc w:val="right"/>
      <w:pPr>
        <w:ind w:left="2160" w:hanging="180"/>
      </w:pPr>
    </w:lvl>
    <w:lvl w:ilvl="3" w:tplc="0EA09578" w:tentative="1">
      <w:start w:val="1"/>
      <w:numFmt w:val="decimal"/>
      <w:lvlText w:val="%4."/>
      <w:lvlJc w:val="left"/>
      <w:pPr>
        <w:ind w:left="2880" w:hanging="360"/>
      </w:pPr>
    </w:lvl>
    <w:lvl w:ilvl="4" w:tplc="826AB3F2" w:tentative="1">
      <w:start w:val="1"/>
      <w:numFmt w:val="lowerLetter"/>
      <w:lvlText w:val="%5."/>
      <w:lvlJc w:val="left"/>
      <w:pPr>
        <w:ind w:left="3600" w:hanging="360"/>
      </w:pPr>
    </w:lvl>
    <w:lvl w:ilvl="5" w:tplc="DAACAEB8" w:tentative="1">
      <w:start w:val="1"/>
      <w:numFmt w:val="lowerRoman"/>
      <w:lvlText w:val="%6."/>
      <w:lvlJc w:val="right"/>
      <w:pPr>
        <w:ind w:left="4320" w:hanging="180"/>
      </w:pPr>
    </w:lvl>
    <w:lvl w:ilvl="6" w:tplc="520AB506" w:tentative="1">
      <w:start w:val="1"/>
      <w:numFmt w:val="decimal"/>
      <w:lvlText w:val="%7."/>
      <w:lvlJc w:val="left"/>
      <w:pPr>
        <w:ind w:left="5040" w:hanging="360"/>
      </w:pPr>
    </w:lvl>
    <w:lvl w:ilvl="7" w:tplc="3B7A1BD2" w:tentative="1">
      <w:start w:val="1"/>
      <w:numFmt w:val="lowerLetter"/>
      <w:lvlText w:val="%8."/>
      <w:lvlJc w:val="left"/>
      <w:pPr>
        <w:ind w:left="5760" w:hanging="360"/>
      </w:pPr>
    </w:lvl>
    <w:lvl w:ilvl="8" w:tplc="A3404D3A" w:tentative="1">
      <w:start w:val="1"/>
      <w:numFmt w:val="lowerRoman"/>
      <w:lvlText w:val="%9."/>
      <w:lvlJc w:val="right"/>
      <w:pPr>
        <w:ind w:left="6480" w:hanging="180"/>
      </w:pPr>
    </w:lvl>
  </w:abstractNum>
  <w:abstractNum w:abstractNumId="9" w15:restartNumberingAfterBreak="0">
    <w:nsid w:val="1DBB39E8"/>
    <w:multiLevelType w:val="hybridMultilevel"/>
    <w:tmpl w:val="62E8B2BC"/>
    <w:lvl w:ilvl="0" w:tplc="F44CA42A">
      <w:start w:val="1"/>
      <w:numFmt w:val="lowerRoman"/>
      <w:lvlText w:val="(%1)"/>
      <w:lvlJc w:val="left"/>
      <w:pPr>
        <w:ind w:left="1069" w:hanging="360"/>
      </w:pPr>
      <w:rPr>
        <w:rFonts w:hint="default"/>
        <w:sz w:val="22"/>
        <w:szCs w:val="22"/>
      </w:rPr>
    </w:lvl>
    <w:lvl w:ilvl="1" w:tplc="4C583F5C" w:tentative="1">
      <w:start w:val="1"/>
      <w:numFmt w:val="lowerLetter"/>
      <w:lvlText w:val="%2."/>
      <w:lvlJc w:val="left"/>
      <w:pPr>
        <w:ind w:left="1789" w:hanging="360"/>
      </w:pPr>
    </w:lvl>
    <w:lvl w:ilvl="2" w:tplc="169E120A" w:tentative="1">
      <w:start w:val="1"/>
      <w:numFmt w:val="lowerRoman"/>
      <w:lvlText w:val="%3."/>
      <w:lvlJc w:val="right"/>
      <w:pPr>
        <w:ind w:left="2509" w:hanging="180"/>
      </w:pPr>
    </w:lvl>
    <w:lvl w:ilvl="3" w:tplc="595EDECA" w:tentative="1">
      <w:start w:val="1"/>
      <w:numFmt w:val="decimal"/>
      <w:lvlText w:val="%4."/>
      <w:lvlJc w:val="left"/>
      <w:pPr>
        <w:ind w:left="3229" w:hanging="360"/>
      </w:pPr>
    </w:lvl>
    <w:lvl w:ilvl="4" w:tplc="A6CC6896" w:tentative="1">
      <w:start w:val="1"/>
      <w:numFmt w:val="lowerLetter"/>
      <w:lvlText w:val="%5."/>
      <w:lvlJc w:val="left"/>
      <w:pPr>
        <w:ind w:left="3949" w:hanging="360"/>
      </w:pPr>
    </w:lvl>
    <w:lvl w:ilvl="5" w:tplc="A89C0942" w:tentative="1">
      <w:start w:val="1"/>
      <w:numFmt w:val="lowerRoman"/>
      <w:lvlText w:val="%6."/>
      <w:lvlJc w:val="right"/>
      <w:pPr>
        <w:ind w:left="4669" w:hanging="180"/>
      </w:pPr>
    </w:lvl>
    <w:lvl w:ilvl="6" w:tplc="8F0ADFCA" w:tentative="1">
      <w:start w:val="1"/>
      <w:numFmt w:val="decimal"/>
      <w:lvlText w:val="%7."/>
      <w:lvlJc w:val="left"/>
      <w:pPr>
        <w:ind w:left="5389" w:hanging="360"/>
      </w:pPr>
    </w:lvl>
    <w:lvl w:ilvl="7" w:tplc="FA4E0444" w:tentative="1">
      <w:start w:val="1"/>
      <w:numFmt w:val="lowerLetter"/>
      <w:lvlText w:val="%8."/>
      <w:lvlJc w:val="left"/>
      <w:pPr>
        <w:ind w:left="6109" w:hanging="360"/>
      </w:pPr>
    </w:lvl>
    <w:lvl w:ilvl="8" w:tplc="FFCCCCAA" w:tentative="1">
      <w:start w:val="1"/>
      <w:numFmt w:val="lowerRoman"/>
      <w:lvlText w:val="%9."/>
      <w:lvlJc w:val="right"/>
      <w:pPr>
        <w:ind w:left="6829" w:hanging="180"/>
      </w:pPr>
    </w:lvl>
  </w:abstractNum>
  <w:abstractNum w:abstractNumId="10" w15:restartNumberingAfterBreak="0">
    <w:nsid w:val="20F8788A"/>
    <w:multiLevelType w:val="multilevel"/>
    <w:tmpl w:val="1BBE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4513F4"/>
    <w:multiLevelType w:val="hybridMultilevel"/>
    <w:tmpl w:val="C7FA78FE"/>
    <w:lvl w:ilvl="0" w:tplc="6F9AD74A">
      <w:start w:val="1"/>
      <w:numFmt w:val="decimal"/>
      <w:lvlText w:val="%1."/>
      <w:lvlJc w:val="left"/>
      <w:pPr>
        <w:ind w:left="798" w:hanging="360"/>
      </w:pPr>
      <w:rPr>
        <w:rFonts w:hint="default"/>
      </w:rPr>
    </w:lvl>
    <w:lvl w:ilvl="1" w:tplc="E954D40A" w:tentative="1">
      <w:start w:val="1"/>
      <w:numFmt w:val="lowerLetter"/>
      <w:lvlText w:val="%2."/>
      <w:lvlJc w:val="left"/>
      <w:pPr>
        <w:ind w:left="1518" w:hanging="360"/>
      </w:pPr>
    </w:lvl>
    <w:lvl w:ilvl="2" w:tplc="4566D3D6" w:tentative="1">
      <w:start w:val="1"/>
      <w:numFmt w:val="lowerRoman"/>
      <w:lvlText w:val="%3."/>
      <w:lvlJc w:val="right"/>
      <w:pPr>
        <w:ind w:left="2238" w:hanging="180"/>
      </w:pPr>
    </w:lvl>
    <w:lvl w:ilvl="3" w:tplc="5FC683B6" w:tentative="1">
      <w:start w:val="1"/>
      <w:numFmt w:val="decimal"/>
      <w:lvlText w:val="%4."/>
      <w:lvlJc w:val="left"/>
      <w:pPr>
        <w:ind w:left="2958" w:hanging="360"/>
      </w:pPr>
    </w:lvl>
    <w:lvl w:ilvl="4" w:tplc="7F6A675C" w:tentative="1">
      <w:start w:val="1"/>
      <w:numFmt w:val="lowerLetter"/>
      <w:lvlText w:val="%5."/>
      <w:lvlJc w:val="left"/>
      <w:pPr>
        <w:ind w:left="3678" w:hanging="360"/>
      </w:pPr>
    </w:lvl>
    <w:lvl w:ilvl="5" w:tplc="A964D0F2" w:tentative="1">
      <w:start w:val="1"/>
      <w:numFmt w:val="lowerRoman"/>
      <w:lvlText w:val="%6."/>
      <w:lvlJc w:val="right"/>
      <w:pPr>
        <w:ind w:left="4398" w:hanging="180"/>
      </w:pPr>
    </w:lvl>
    <w:lvl w:ilvl="6" w:tplc="7BE8017A" w:tentative="1">
      <w:start w:val="1"/>
      <w:numFmt w:val="decimal"/>
      <w:lvlText w:val="%7."/>
      <w:lvlJc w:val="left"/>
      <w:pPr>
        <w:ind w:left="5118" w:hanging="360"/>
      </w:pPr>
    </w:lvl>
    <w:lvl w:ilvl="7" w:tplc="E0E44A5E" w:tentative="1">
      <w:start w:val="1"/>
      <w:numFmt w:val="lowerLetter"/>
      <w:lvlText w:val="%8."/>
      <w:lvlJc w:val="left"/>
      <w:pPr>
        <w:ind w:left="5838" w:hanging="360"/>
      </w:pPr>
    </w:lvl>
    <w:lvl w:ilvl="8" w:tplc="80AAA094" w:tentative="1">
      <w:start w:val="1"/>
      <w:numFmt w:val="lowerRoman"/>
      <w:lvlText w:val="%9."/>
      <w:lvlJc w:val="right"/>
      <w:pPr>
        <w:ind w:left="6558" w:hanging="180"/>
      </w:pPr>
    </w:lvl>
  </w:abstractNum>
  <w:abstractNum w:abstractNumId="12" w15:restartNumberingAfterBreak="0">
    <w:nsid w:val="30C820C7"/>
    <w:multiLevelType w:val="hybridMultilevel"/>
    <w:tmpl w:val="5DA01F94"/>
    <w:lvl w:ilvl="0" w:tplc="542CA124">
      <w:start w:val="1"/>
      <w:numFmt w:val="decimal"/>
      <w:lvlText w:val="%1."/>
      <w:lvlJc w:val="left"/>
      <w:pPr>
        <w:ind w:left="720" w:hanging="360"/>
      </w:pPr>
    </w:lvl>
    <w:lvl w:ilvl="1" w:tplc="49B04382" w:tentative="1">
      <w:start w:val="1"/>
      <w:numFmt w:val="lowerLetter"/>
      <w:lvlText w:val="%2."/>
      <w:lvlJc w:val="left"/>
      <w:pPr>
        <w:ind w:left="1440" w:hanging="360"/>
      </w:pPr>
    </w:lvl>
    <w:lvl w:ilvl="2" w:tplc="3410D42A" w:tentative="1">
      <w:start w:val="1"/>
      <w:numFmt w:val="lowerRoman"/>
      <w:lvlText w:val="%3."/>
      <w:lvlJc w:val="right"/>
      <w:pPr>
        <w:ind w:left="2160" w:hanging="180"/>
      </w:pPr>
    </w:lvl>
    <w:lvl w:ilvl="3" w:tplc="C63EB342" w:tentative="1">
      <w:start w:val="1"/>
      <w:numFmt w:val="decimal"/>
      <w:lvlText w:val="%4."/>
      <w:lvlJc w:val="left"/>
      <w:pPr>
        <w:ind w:left="2880" w:hanging="360"/>
      </w:pPr>
    </w:lvl>
    <w:lvl w:ilvl="4" w:tplc="A1C81CD0" w:tentative="1">
      <w:start w:val="1"/>
      <w:numFmt w:val="lowerLetter"/>
      <w:lvlText w:val="%5."/>
      <w:lvlJc w:val="left"/>
      <w:pPr>
        <w:ind w:left="3600" w:hanging="360"/>
      </w:pPr>
    </w:lvl>
    <w:lvl w:ilvl="5" w:tplc="C8F05D8C" w:tentative="1">
      <w:start w:val="1"/>
      <w:numFmt w:val="lowerRoman"/>
      <w:lvlText w:val="%6."/>
      <w:lvlJc w:val="right"/>
      <w:pPr>
        <w:ind w:left="4320" w:hanging="180"/>
      </w:pPr>
    </w:lvl>
    <w:lvl w:ilvl="6" w:tplc="40A0C1D6" w:tentative="1">
      <w:start w:val="1"/>
      <w:numFmt w:val="decimal"/>
      <w:lvlText w:val="%7."/>
      <w:lvlJc w:val="left"/>
      <w:pPr>
        <w:ind w:left="5040" w:hanging="360"/>
      </w:pPr>
    </w:lvl>
    <w:lvl w:ilvl="7" w:tplc="D0305D42" w:tentative="1">
      <w:start w:val="1"/>
      <w:numFmt w:val="lowerLetter"/>
      <w:lvlText w:val="%8."/>
      <w:lvlJc w:val="left"/>
      <w:pPr>
        <w:ind w:left="5760" w:hanging="360"/>
      </w:pPr>
    </w:lvl>
    <w:lvl w:ilvl="8" w:tplc="3B384684" w:tentative="1">
      <w:start w:val="1"/>
      <w:numFmt w:val="lowerRoman"/>
      <w:lvlText w:val="%9."/>
      <w:lvlJc w:val="right"/>
      <w:pPr>
        <w:ind w:left="6480" w:hanging="180"/>
      </w:pPr>
    </w:lvl>
  </w:abstractNum>
  <w:abstractNum w:abstractNumId="13"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3D06747"/>
    <w:multiLevelType w:val="hybridMultilevel"/>
    <w:tmpl w:val="C4847498"/>
    <w:lvl w:ilvl="0" w:tplc="F17266CA">
      <w:start w:val="5"/>
      <w:numFmt w:val="bullet"/>
      <w:lvlText w:val="-"/>
      <w:lvlJc w:val="left"/>
      <w:pPr>
        <w:ind w:left="1086" w:hanging="360"/>
      </w:pPr>
      <w:rPr>
        <w:rFonts w:ascii="Arial" w:eastAsia="Arial Unicode MS" w:hAnsi="Arial" w:cs="Arial" w:hint="default"/>
      </w:rPr>
    </w:lvl>
    <w:lvl w:ilvl="1" w:tplc="C72ECF40" w:tentative="1">
      <w:start w:val="1"/>
      <w:numFmt w:val="bullet"/>
      <w:lvlText w:val="o"/>
      <w:lvlJc w:val="left"/>
      <w:pPr>
        <w:ind w:left="1806" w:hanging="360"/>
      </w:pPr>
      <w:rPr>
        <w:rFonts w:ascii="Courier New" w:hAnsi="Courier New" w:cs="Courier New" w:hint="default"/>
      </w:rPr>
    </w:lvl>
    <w:lvl w:ilvl="2" w:tplc="8AE4C340" w:tentative="1">
      <w:start w:val="1"/>
      <w:numFmt w:val="bullet"/>
      <w:lvlText w:val=""/>
      <w:lvlJc w:val="left"/>
      <w:pPr>
        <w:ind w:left="2526" w:hanging="360"/>
      </w:pPr>
      <w:rPr>
        <w:rFonts w:ascii="Wingdings" w:hAnsi="Wingdings" w:hint="default"/>
      </w:rPr>
    </w:lvl>
    <w:lvl w:ilvl="3" w:tplc="1E66A81E" w:tentative="1">
      <w:start w:val="1"/>
      <w:numFmt w:val="bullet"/>
      <w:lvlText w:val=""/>
      <w:lvlJc w:val="left"/>
      <w:pPr>
        <w:ind w:left="3246" w:hanging="360"/>
      </w:pPr>
      <w:rPr>
        <w:rFonts w:ascii="Symbol" w:hAnsi="Symbol" w:hint="default"/>
      </w:rPr>
    </w:lvl>
    <w:lvl w:ilvl="4" w:tplc="FECA34B6" w:tentative="1">
      <w:start w:val="1"/>
      <w:numFmt w:val="bullet"/>
      <w:lvlText w:val="o"/>
      <w:lvlJc w:val="left"/>
      <w:pPr>
        <w:ind w:left="3966" w:hanging="360"/>
      </w:pPr>
      <w:rPr>
        <w:rFonts w:ascii="Courier New" w:hAnsi="Courier New" w:cs="Courier New" w:hint="default"/>
      </w:rPr>
    </w:lvl>
    <w:lvl w:ilvl="5" w:tplc="7FFEA82E" w:tentative="1">
      <w:start w:val="1"/>
      <w:numFmt w:val="bullet"/>
      <w:lvlText w:val=""/>
      <w:lvlJc w:val="left"/>
      <w:pPr>
        <w:ind w:left="4686" w:hanging="360"/>
      </w:pPr>
      <w:rPr>
        <w:rFonts w:ascii="Wingdings" w:hAnsi="Wingdings" w:hint="default"/>
      </w:rPr>
    </w:lvl>
    <w:lvl w:ilvl="6" w:tplc="7570AE08" w:tentative="1">
      <w:start w:val="1"/>
      <w:numFmt w:val="bullet"/>
      <w:lvlText w:val=""/>
      <w:lvlJc w:val="left"/>
      <w:pPr>
        <w:ind w:left="5406" w:hanging="360"/>
      </w:pPr>
      <w:rPr>
        <w:rFonts w:ascii="Symbol" w:hAnsi="Symbol" w:hint="default"/>
      </w:rPr>
    </w:lvl>
    <w:lvl w:ilvl="7" w:tplc="D46825D4" w:tentative="1">
      <w:start w:val="1"/>
      <w:numFmt w:val="bullet"/>
      <w:lvlText w:val="o"/>
      <w:lvlJc w:val="left"/>
      <w:pPr>
        <w:ind w:left="6126" w:hanging="360"/>
      </w:pPr>
      <w:rPr>
        <w:rFonts w:ascii="Courier New" w:hAnsi="Courier New" w:cs="Courier New" w:hint="default"/>
      </w:rPr>
    </w:lvl>
    <w:lvl w:ilvl="8" w:tplc="9296F022" w:tentative="1">
      <w:start w:val="1"/>
      <w:numFmt w:val="bullet"/>
      <w:lvlText w:val=""/>
      <w:lvlJc w:val="left"/>
      <w:pPr>
        <w:ind w:left="6846" w:hanging="360"/>
      </w:pPr>
      <w:rPr>
        <w:rFonts w:ascii="Wingdings" w:hAnsi="Wingdings" w:hint="default"/>
      </w:rPr>
    </w:lvl>
  </w:abstractNum>
  <w:abstractNum w:abstractNumId="16"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16202C"/>
    <w:multiLevelType w:val="hybridMultilevel"/>
    <w:tmpl w:val="5C465BE8"/>
    <w:lvl w:ilvl="0" w:tplc="81D8A560">
      <w:start w:val="1"/>
      <w:numFmt w:val="upperLetter"/>
      <w:lvlText w:val="%1."/>
      <w:lvlJc w:val="left"/>
      <w:pPr>
        <w:ind w:left="644" w:hanging="360"/>
      </w:pPr>
      <w:rPr>
        <w:rFonts w:ascii="Arial" w:eastAsia="Arial Unicode MS" w:hAnsi="Arial" w:cs="Times New Roman"/>
      </w:rPr>
    </w:lvl>
    <w:lvl w:ilvl="1" w:tplc="DF80C6A4" w:tentative="1">
      <w:start w:val="1"/>
      <w:numFmt w:val="lowerLetter"/>
      <w:lvlText w:val="%2."/>
      <w:lvlJc w:val="left"/>
      <w:pPr>
        <w:ind w:left="1440" w:hanging="360"/>
      </w:pPr>
    </w:lvl>
    <w:lvl w:ilvl="2" w:tplc="3E3E64D0" w:tentative="1">
      <w:start w:val="1"/>
      <w:numFmt w:val="lowerRoman"/>
      <w:lvlText w:val="%3."/>
      <w:lvlJc w:val="right"/>
      <w:pPr>
        <w:ind w:left="2160" w:hanging="180"/>
      </w:pPr>
    </w:lvl>
    <w:lvl w:ilvl="3" w:tplc="D83C1446" w:tentative="1">
      <w:start w:val="1"/>
      <w:numFmt w:val="decimal"/>
      <w:lvlText w:val="%4."/>
      <w:lvlJc w:val="left"/>
      <w:pPr>
        <w:ind w:left="2880" w:hanging="360"/>
      </w:pPr>
    </w:lvl>
    <w:lvl w:ilvl="4" w:tplc="432417BC" w:tentative="1">
      <w:start w:val="1"/>
      <w:numFmt w:val="lowerLetter"/>
      <w:lvlText w:val="%5."/>
      <w:lvlJc w:val="left"/>
      <w:pPr>
        <w:ind w:left="3600" w:hanging="360"/>
      </w:pPr>
    </w:lvl>
    <w:lvl w:ilvl="5" w:tplc="EA4C04AE" w:tentative="1">
      <w:start w:val="1"/>
      <w:numFmt w:val="lowerRoman"/>
      <w:lvlText w:val="%6."/>
      <w:lvlJc w:val="right"/>
      <w:pPr>
        <w:ind w:left="4320" w:hanging="180"/>
      </w:pPr>
    </w:lvl>
    <w:lvl w:ilvl="6" w:tplc="F3800F02" w:tentative="1">
      <w:start w:val="1"/>
      <w:numFmt w:val="decimal"/>
      <w:lvlText w:val="%7."/>
      <w:lvlJc w:val="left"/>
      <w:pPr>
        <w:ind w:left="5040" w:hanging="360"/>
      </w:pPr>
    </w:lvl>
    <w:lvl w:ilvl="7" w:tplc="127451C6" w:tentative="1">
      <w:start w:val="1"/>
      <w:numFmt w:val="lowerLetter"/>
      <w:lvlText w:val="%8."/>
      <w:lvlJc w:val="left"/>
      <w:pPr>
        <w:ind w:left="5760" w:hanging="360"/>
      </w:pPr>
    </w:lvl>
    <w:lvl w:ilvl="8" w:tplc="AEAC7628" w:tentative="1">
      <w:start w:val="1"/>
      <w:numFmt w:val="lowerRoman"/>
      <w:lvlText w:val="%9."/>
      <w:lvlJc w:val="right"/>
      <w:pPr>
        <w:ind w:left="6480" w:hanging="180"/>
      </w:pPr>
    </w:lvl>
  </w:abstractNum>
  <w:abstractNum w:abstractNumId="19" w15:restartNumberingAfterBreak="0">
    <w:nsid w:val="4B204C64"/>
    <w:multiLevelType w:val="hybridMultilevel"/>
    <w:tmpl w:val="56C4212A"/>
    <w:lvl w:ilvl="0" w:tplc="E7506E3E">
      <w:start w:val="1"/>
      <w:numFmt w:val="decimal"/>
      <w:lvlText w:val="%1."/>
      <w:lvlJc w:val="left"/>
      <w:pPr>
        <w:tabs>
          <w:tab w:val="num" w:pos="567"/>
        </w:tabs>
        <w:ind w:left="0" w:firstLine="0"/>
      </w:pPr>
      <w:rPr>
        <w:rFonts w:hint="default"/>
        <w:b w:val="0"/>
        <w:i w:val="0"/>
      </w:rPr>
    </w:lvl>
    <w:lvl w:ilvl="1" w:tplc="D08AB5B2" w:tentative="1">
      <w:start w:val="1"/>
      <w:numFmt w:val="lowerLetter"/>
      <w:lvlText w:val="%2."/>
      <w:lvlJc w:val="left"/>
      <w:pPr>
        <w:tabs>
          <w:tab w:val="num" w:pos="1440"/>
        </w:tabs>
        <w:ind w:left="1440" w:hanging="360"/>
      </w:pPr>
    </w:lvl>
    <w:lvl w:ilvl="2" w:tplc="E9949326" w:tentative="1">
      <w:start w:val="1"/>
      <w:numFmt w:val="lowerRoman"/>
      <w:lvlText w:val="%3."/>
      <w:lvlJc w:val="right"/>
      <w:pPr>
        <w:tabs>
          <w:tab w:val="num" w:pos="2160"/>
        </w:tabs>
        <w:ind w:left="2160" w:hanging="180"/>
      </w:pPr>
    </w:lvl>
    <w:lvl w:ilvl="3" w:tplc="9C3AFD2E" w:tentative="1">
      <w:start w:val="1"/>
      <w:numFmt w:val="decimal"/>
      <w:lvlText w:val="%4."/>
      <w:lvlJc w:val="left"/>
      <w:pPr>
        <w:tabs>
          <w:tab w:val="num" w:pos="2880"/>
        </w:tabs>
        <w:ind w:left="2880" w:hanging="360"/>
      </w:pPr>
    </w:lvl>
    <w:lvl w:ilvl="4" w:tplc="7AE89B44" w:tentative="1">
      <w:start w:val="1"/>
      <w:numFmt w:val="lowerLetter"/>
      <w:lvlText w:val="%5."/>
      <w:lvlJc w:val="left"/>
      <w:pPr>
        <w:tabs>
          <w:tab w:val="num" w:pos="3600"/>
        </w:tabs>
        <w:ind w:left="3600" w:hanging="360"/>
      </w:pPr>
    </w:lvl>
    <w:lvl w:ilvl="5" w:tplc="03C024DC" w:tentative="1">
      <w:start w:val="1"/>
      <w:numFmt w:val="lowerRoman"/>
      <w:lvlText w:val="%6."/>
      <w:lvlJc w:val="right"/>
      <w:pPr>
        <w:tabs>
          <w:tab w:val="num" w:pos="4320"/>
        </w:tabs>
        <w:ind w:left="4320" w:hanging="180"/>
      </w:pPr>
    </w:lvl>
    <w:lvl w:ilvl="6" w:tplc="5B2400C2" w:tentative="1">
      <w:start w:val="1"/>
      <w:numFmt w:val="decimal"/>
      <w:lvlText w:val="%7."/>
      <w:lvlJc w:val="left"/>
      <w:pPr>
        <w:tabs>
          <w:tab w:val="num" w:pos="5040"/>
        </w:tabs>
        <w:ind w:left="5040" w:hanging="360"/>
      </w:pPr>
    </w:lvl>
    <w:lvl w:ilvl="7" w:tplc="86584380" w:tentative="1">
      <w:start w:val="1"/>
      <w:numFmt w:val="lowerLetter"/>
      <w:lvlText w:val="%8."/>
      <w:lvlJc w:val="left"/>
      <w:pPr>
        <w:tabs>
          <w:tab w:val="num" w:pos="5760"/>
        </w:tabs>
        <w:ind w:left="5760" w:hanging="360"/>
      </w:pPr>
    </w:lvl>
    <w:lvl w:ilvl="8" w:tplc="FB08FF88" w:tentative="1">
      <w:start w:val="1"/>
      <w:numFmt w:val="lowerRoman"/>
      <w:lvlText w:val="%9."/>
      <w:lvlJc w:val="right"/>
      <w:pPr>
        <w:tabs>
          <w:tab w:val="num" w:pos="6480"/>
        </w:tabs>
        <w:ind w:left="6480" w:hanging="180"/>
      </w:pPr>
    </w:lvl>
  </w:abstractNum>
  <w:abstractNum w:abstractNumId="20" w15:restartNumberingAfterBreak="0">
    <w:nsid w:val="4E88035E"/>
    <w:multiLevelType w:val="hybridMultilevel"/>
    <w:tmpl w:val="B9D6EF66"/>
    <w:lvl w:ilvl="0" w:tplc="B386BCF4">
      <w:start w:val="1"/>
      <w:numFmt w:val="bullet"/>
      <w:lvlText w:val=""/>
      <w:lvlJc w:val="left"/>
      <w:pPr>
        <w:ind w:left="720" w:hanging="360"/>
      </w:pPr>
      <w:rPr>
        <w:rFonts w:ascii="Symbol" w:hAnsi="Symbol" w:hint="default"/>
      </w:rPr>
    </w:lvl>
    <w:lvl w:ilvl="1" w:tplc="8DA46DA6" w:tentative="1">
      <w:start w:val="1"/>
      <w:numFmt w:val="bullet"/>
      <w:lvlText w:val="o"/>
      <w:lvlJc w:val="left"/>
      <w:pPr>
        <w:ind w:left="1440" w:hanging="360"/>
      </w:pPr>
      <w:rPr>
        <w:rFonts w:ascii="Courier New" w:hAnsi="Courier New" w:cs="Courier New" w:hint="default"/>
      </w:rPr>
    </w:lvl>
    <w:lvl w:ilvl="2" w:tplc="F8380A70" w:tentative="1">
      <w:start w:val="1"/>
      <w:numFmt w:val="bullet"/>
      <w:lvlText w:val=""/>
      <w:lvlJc w:val="left"/>
      <w:pPr>
        <w:ind w:left="2160" w:hanging="360"/>
      </w:pPr>
      <w:rPr>
        <w:rFonts w:ascii="Wingdings" w:hAnsi="Wingdings" w:hint="default"/>
      </w:rPr>
    </w:lvl>
    <w:lvl w:ilvl="3" w:tplc="C5C47E38" w:tentative="1">
      <w:start w:val="1"/>
      <w:numFmt w:val="bullet"/>
      <w:lvlText w:val=""/>
      <w:lvlJc w:val="left"/>
      <w:pPr>
        <w:ind w:left="2880" w:hanging="360"/>
      </w:pPr>
      <w:rPr>
        <w:rFonts w:ascii="Symbol" w:hAnsi="Symbol" w:hint="default"/>
      </w:rPr>
    </w:lvl>
    <w:lvl w:ilvl="4" w:tplc="C0481CD4" w:tentative="1">
      <w:start w:val="1"/>
      <w:numFmt w:val="bullet"/>
      <w:lvlText w:val="o"/>
      <w:lvlJc w:val="left"/>
      <w:pPr>
        <w:ind w:left="3600" w:hanging="360"/>
      </w:pPr>
      <w:rPr>
        <w:rFonts w:ascii="Courier New" w:hAnsi="Courier New" w:cs="Courier New" w:hint="default"/>
      </w:rPr>
    </w:lvl>
    <w:lvl w:ilvl="5" w:tplc="39FAAE40" w:tentative="1">
      <w:start w:val="1"/>
      <w:numFmt w:val="bullet"/>
      <w:lvlText w:val=""/>
      <w:lvlJc w:val="left"/>
      <w:pPr>
        <w:ind w:left="4320" w:hanging="360"/>
      </w:pPr>
      <w:rPr>
        <w:rFonts w:ascii="Wingdings" w:hAnsi="Wingdings" w:hint="default"/>
      </w:rPr>
    </w:lvl>
    <w:lvl w:ilvl="6" w:tplc="7D906E0E" w:tentative="1">
      <w:start w:val="1"/>
      <w:numFmt w:val="bullet"/>
      <w:lvlText w:val=""/>
      <w:lvlJc w:val="left"/>
      <w:pPr>
        <w:ind w:left="5040" w:hanging="360"/>
      </w:pPr>
      <w:rPr>
        <w:rFonts w:ascii="Symbol" w:hAnsi="Symbol" w:hint="default"/>
      </w:rPr>
    </w:lvl>
    <w:lvl w:ilvl="7" w:tplc="6F4C371A" w:tentative="1">
      <w:start w:val="1"/>
      <w:numFmt w:val="bullet"/>
      <w:lvlText w:val="o"/>
      <w:lvlJc w:val="left"/>
      <w:pPr>
        <w:ind w:left="5760" w:hanging="360"/>
      </w:pPr>
      <w:rPr>
        <w:rFonts w:ascii="Courier New" w:hAnsi="Courier New" w:cs="Courier New" w:hint="default"/>
      </w:rPr>
    </w:lvl>
    <w:lvl w:ilvl="8" w:tplc="42A07C38" w:tentative="1">
      <w:start w:val="1"/>
      <w:numFmt w:val="bullet"/>
      <w:lvlText w:val=""/>
      <w:lvlJc w:val="left"/>
      <w:pPr>
        <w:ind w:left="6480" w:hanging="360"/>
      </w:pPr>
      <w:rPr>
        <w:rFonts w:ascii="Wingdings" w:hAnsi="Wingdings" w:hint="default"/>
      </w:rPr>
    </w:lvl>
  </w:abstractNum>
  <w:abstractNum w:abstractNumId="21" w15:restartNumberingAfterBreak="0">
    <w:nsid w:val="5111396D"/>
    <w:multiLevelType w:val="multilevel"/>
    <w:tmpl w:val="746CC58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768C1"/>
    <w:multiLevelType w:val="hybridMultilevel"/>
    <w:tmpl w:val="D3E809BA"/>
    <w:lvl w:ilvl="0" w:tplc="7640E22C">
      <w:numFmt w:val="bullet"/>
      <w:lvlText w:val="-"/>
      <w:lvlJc w:val="left"/>
      <w:pPr>
        <w:ind w:left="720" w:hanging="360"/>
      </w:pPr>
      <w:rPr>
        <w:rFonts w:ascii="Arial" w:eastAsia="Arial Unicode MS" w:hAnsi="Arial" w:cs="Arial" w:hint="default"/>
      </w:rPr>
    </w:lvl>
    <w:lvl w:ilvl="1" w:tplc="6A6C1708" w:tentative="1">
      <w:start w:val="1"/>
      <w:numFmt w:val="bullet"/>
      <w:lvlText w:val="o"/>
      <w:lvlJc w:val="left"/>
      <w:pPr>
        <w:ind w:left="1440" w:hanging="360"/>
      </w:pPr>
      <w:rPr>
        <w:rFonts w:ascii="Courier New" w:hAnsi="Courier New" w:cs="Courier New" w:hint="default"/>
      </w:rPr>
    </w:lvl>
    <w:lvl w:ilvl="2" w:tplc="F4B8D1DE" w:tentative="1">
      <w:start w:val="1"/>
      <w:numFmt w:val="bullet"/>
      <w:lvlText w:val=""/>
      <w:lvlJc w:val="left"/>
      <w:pPr>
        <w:ind w:left="2160" w:hanging="360"/>
      </w:pPr>
      <w:rPr>
        <w:rFonts w:ascii="Wingdings" w:hAnsi="Wingdings" w:hint="default"/>
      </w:rPr>
    </w:lvl>
    <w:lvl w:ilvl="3" w:tplc="D220C39A" w:tentative="1">
      <w:start w:val="1"/>
      <w:numFmt w:val="bullet"/>
      <w:lvlText w:val=""/>
      <w:lvlJc w:val="left"/>
      <w:pPr>
        <w:ind w:left="2880" w:hanging="360"/>
      </w:pPr>
      <w:rPr>
        <w:rFonts w:ascii="Symbol" w:hAnsi="Symbol" w:hint="default"/>
      </w:rPr>
    </w:lvl>
    <w:lvl w:ilvl="4" w:tplc="6ED442E4" w:tentative="1">
      <w:start w:val="1"/>
      <w:numFmt w:val="bullet"/>
      <w:lvlText w:val="o"/>
      <w:lvlJc w:val="left"/>
      <w:pPr>
        <w:ind w:left="3600" w:hanging="360"/>
      </w:pPr>
      <w:rPr>
        <w:rFonts w:ascii="Courier New" w:hAnsi="Courier New" w:cs="Courier New" w:hint="default"/>
      </w:rPr>
    </w:lvl>
    <w:lvl w:ilvl="5" w:tplc="9588FF96" w:tentative="1">
      <w:start w:val="1"/>
      <w:numFmt w:val="bullet"/>
      <w:lvlText w:val=""/>
      <w:lvlJc w:val="left"/>
      <w:pPr>
        <w:ind w:left="4320" w:hanging="360"/>
      </w:pPr>
      <w:rPr>
        <w:rFonts w:ascii="Wingdings" w:hAnsi="Wingdings" w:hint="default"/>
      </w:rPr>
    </w:lvl>
    <w:lvl w:ilvl="6" w:tplc="A5E83A76" w:tentative="1">
      <w:start w:val="1"/>
      <w:numFmt w:val="bullet"/>
      <w:lvlText w:val=""/>
      <w:lvlJc w:val="left"/>
      <w:pPr>
        <w:ind w:left="5040" w:hanging="360"/>
      </w:pPr>
      <w:rPr>
        <w:rFonts w:ascii="Symbol" w:hAnsi="Symbol" w:hint="default"/>
      </w:rPr>
    </w:lvl>
    <w:lvl w:ilvl="7" w:tplc="09F68B2C" w:tentative="1">
      <w:start w:val="1"/>
      <w:numFmt w:val="bullet"/>
      <w:lvlText w:val="o"/>
      <w:lvlJc w:val="left"/>
      <w:pPr>
        <w:ind w:left="5760" w:hanging="360"/>
      </w:pPr>
      <w:rPr>
        <w:rFonts w:ascii="Courier New" w:hAnsi="Courier New" w:cs="Courier New" w:hint="default"/>
      </w:rPr>
    </w:lvl>
    <w:lvl w:ilvl="8" w:tplc="A956F764" w:tentative="1">
      <w:start w:val="1"/>
      <w:numFmt w:val="bullet"/>
      <w:lvlText w:val=""/>
      <w:lvlJc w:val="left"/>
      <w:pPr>
        <w:ind w:left="6480" w:hanging="360"/>
      </w:pPr>
      <w:rPr>
        <w:rFonts w:ascii="Wingdings" w:hAnsi="Wingdings" w:hint="default"/>
      </w:rPr>
    </w:lvl>
  </w:abstractNum>
  <w:abstractNum w:abstractNumId="23" w15:restartNumberingAfterBreak="0">
    <w:nsid w:val="5471307C"/>
    <w:multiLevelType w:val="hybridMultilevel"/>
    <w:tmpl w:val="800A9C98"/>
    <w:lvl w:ilvl="0" w:tplc="7BE6A376">
      <w:start w:val="1"/>
      <w:numFmt w:val="upperLetter"/>
      <w:lvlText w:val="%1."/>
      <w:lvlJc w:val="left"/>
      <w:pPr>
        <w:ind w:left="720" w:hanging="360"/>
      </w:pPr>
      <w:rPr>
        <w:rFonts w:hint="default"/>
      </w:rPr>
    </w:lvl>
    <w:lvl w:ilvl="1" w:tplc="95AC64E4">
      <w:start w:val="1"/>
      <w:numFmt w:val="lowerLetter"/>
      <w:lvlText w:val="%2."/>
      <w:lvlJc w:val="left"/>
      <w:pPr>
        <w:ind w:left="1440" w:hanging="360"/>
      </w:pPr>
    </w:lvl>
    <w:lvl w:ilvl="2" w:tplc="F4807D7A" w:tentative="1">
      <w:start w:val="1"/>
      <w:numFmt w:val="lowerRoman"/>
      <w:lvlText w:val="%3."/>
      <w:lvlJc w:val="right"/>
      <w:pPr>
        <w:ind w:left="2160" w:hanging="180"/>
      </w:pPr>
    </w:lvl>
    <w:lvl w:ilvl="3" w:tplc="1BF4D274" w:tentative="1">
      <w:start w:val="1"/>
      <w:numFmt w:val="decimal"/>
      <w:lvlText w:val="%4."/>
      <w:lvlJc w:val="left"/>
      <w:pPr>
        <w:ind w:left="2880" w:hanging="360"/>
      </w:pPr>
    </w:lvl>
    <w:lvl w:ilvl="4" w:tplc="4DFE80EA" w:tentative="1">
      <w:start w:val="1"/>
      <w:numFmt w:val="lowerLetter"/>
      <w:lvlText w:val="%5."/>
      <w:lvlJc w:val="left"/>
      <w:pPr>
        <w:ind w:left="3600" w:hanging="360"/>
      </w:pPr>
    </w:lvl>
    <w:lvl w:ilvl="5" w:tplc="FDA8A348" w:tentative="1">
      <w:start w:val="1"/>
      <w:numFmt w:val="lowerRoman"/>
      <w:lvlText w:val="%6."/>
      <w:lvlJc w:val="right"/>
      <w:pPr>
        <w:ind w:left="4320" w:hanging="180"/>
      </w:pPr>
    </w:lvl>
    <w:lvl w:ilvl="6" w:tplc="8434571E" w:tentative="1">
      <w:start w:val="1"/>
      <w:numFmt w:val="decimal"/>
      <w:lvlText w:val="%7."/>
      <w:lvlJc w:val="left"/>
      <w:pPr>
        <w:ind w:left="5040" w:hanging="360"/>
      </w:pPr>
    </w:lvl>
    <w:lvl w:ilvl="7" w:tplc="A2AACD24" w:tentative="1">
      <w:start w:val="1"/>
      <w:numFmt w:val="lowerLetter"/>
      <w:lvlText w:val="%8."/>
      <w:lvlJc w:val="left"/>
      <w:pPr>
        <w:ind w:left="5760" w:hanging="360"/>
      </w:pPr>
    </w:lvl>
    <w:lvl w:ilvl="8" w:tplc="6804D73E" w:tentative="1">
      <w:start w:val="1"/>
      <w:numFmt w:val="lowerRoman"/>
      <w:lvlText w:val="%9."/>
      <w:lvlJc w:val="right"/>
      <w:pPr>
        <w:ind w:left="6480" w:hanging="180"/>
      </w:pPr>
    </w:lvl>
  </w:abstractNum>
  <w:abstractNum w:abstractNumId="24" w15:restartNumberingAfterBreak="0">
    <w:nsid w:val="59072590"/>
    <w:multiLevelType w:val="multilevel"/>
    <w:tmpl w:val="6AC44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432EB"/>
    <w:multiLevelType w:val="hybridMultilevel"/>
    <w:tmpl w:val="5F0E0364"/>
    <w:lvl w:ilvl="0" w:tplc="C91E35AA">
      <w:start w:val="1"/>
      <w:numFmt w:val="decimal"/>
      <w:lvlText w:val="%1."/>
      <w:lvlJc w:val="left"/>
      <w:pPr>
        <w:ind w:left="720" w:hanging="360"/>
      </w:pPr>
      <w:rPr>
        <w:rFonts w:ascii="Arial" w:hAnsi="Arial" w:hint="default"/>
        <w:b/>
        <w:i w:val="0"/>
        <w:sz w:val="22"/>
      </w:rPr>
    </w:lvl>
    <w:lvl w:ilvl="1" w:tplc="0B0E90D4" w:tentative="1">
      <w:start w:val="1"/>
      <w:numFmt w:val="lowerLetter"/>
      <w:lvlText w:val="%2."/>
      <w:lvlJc w:val="left"/>
      <w:pPr>
        <w:ind w:left="1440" w:hanging="360"/>
      </w:pPr>
    </w:lvl>
    <w:lvl w:ilvl="2" w:tplc="79401F2C" w:tentative="1">
      <w:start w:val="1"/>
      <w:numFmt w:val="lowerRoman"/>
      <w:lvlText w:val="%3."/>
      <w:lvlJc w:val="right"/>
      <w:pPr>
        <w:ind w:left="2160" w:hanging="180"/>
      </w:pPr>
    </w:lvl>
    <w:lvl w:ilvl="3" w:tplc="5F86EE3A" w:tentative="1">
      <w:start w:val="1"/>
      <w:numFmt w:val="decimal"/>
      <w:lvlText w:val="%4."/>
      <w:lvlJc w:val="left"/>
      <w:pPr>
        <w:ind w:left="2880" w:hanging="360"/>
      </w:pPr>
    </w:lvl>
    <w:lvl w:ilvl="4" w:tplc="B49EB7AA" w:tentative="1">
      <w:start w:val="1"/>
      <w:numFmt w:val="lowerLetter"/>
      <w:lvlText w:val="%5."/>
      <w:lvlJc w:val="left"/>
      <w:pPr>
        <w:ind w:left="3600" w:hanging="360"/>
      </w:pPr>
    </w:lvl>
    <w:lvl w:ilvl="5" w:tplc="7970522E" w:tentative="1">
      <w:start w:val="1"/>
      <w:numFmt w:val="lowerRoman"/>
      <w:lvlText w:val="%6."/>
      <w:lvlJc w:val="right"/>
      <w:pPr>
        <w:ind w:left="4320" w:hanging="180"/>
      </w:pPr>
    </w:lvl>
    <w:lvl w:ilvl="6" w:tplc="0F489466" w:tentative="1">
      <w:start w:val="1"/>
      <w:numFmt w:val="decimal"/>
      <w:lvlText w:val="%7."/>
      <w:lvlJc w:val="left"/>
      <w:pPr>
        <w:ind w:left="5040" w:hanging="360"/>
      </w:pPr>
    </w:lvl>
    <w:lvl w:ilvl="7" w:tplc="A1A6D1EE" w:tentative="1">
      <w:start w:val="1"/>
      <w:numFmt w:val="lowerLetter"/>
      <w:lvlText w:val="%8."/>
      <w:lvlJc w:val="left"/>
      <w:pPr>
        <w:ind w:left="5760" w:hanging="360"/>
      </w:pPr>
    </w:lvl>
    <w:lvl w:ilvl="8" w:tplc="13FC119A" w:tentative="1">
      <w:start w:val="1"/>
      <w:numFmt w:val="lowerRoman"/>
      <w:lvlText w:val="%9."/>
      <w:lvlJc w:val="right"/>
      <w:pPr>
        <w:ind w:left="6480" w:hanging="180"/>
      </w:pPr>
    </w:lvl>
  </w:abstractNum>
  <w:abstractNum w:abstractNumId="26"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4B35C5"/>
    <w:multiLevelType w:val="hybridMultilevel"/>
    <w:tmpl w:val="256E4662"/>
    <w:lvl w:ilvl="0" w:tplc="69D6AB80">
      <w:start w:val="1"/>
      <w:numFmt w:val="bullet"/>
      <w:lvlText w:val=""/>
      <w:lvlJc w:val="left"/>
      <w:pPr>
        <w:ind w:left="720" w:hanging="360"/>
      </w:pPr>
      <w:rPr>
        <w:rFonts w:ascii="Wingdings" w:hAnsi="Wingdings" w:hint="default"/>
      </w:rPr>
    </w:lvl>
    <w:lvl w:ilvl="1" w:tplc="0210709E" w:tentative="1">
      <w:start w:val="1"/>
      <w:numFmt w:val="bullet"/>
      <w:lvlText w:val="o"/>
      <w:lvlJc w:val="left"/>
      <w:pPr>
        <w:ind w:left="1440" w:hanging="360"/>
      </w:pPr>
      <w:rPr>
        <w:rFonts w:ascii="Courier New" w:hAnsi="Courier New" w:cs="Courier New" w:hint="default"/>
      </w:rPr>
    </w:lvl>
    <w:lvl w:ilvl="2" w:tplc="CE0C5C50" w:tentative="1">
      <w:start w:val="1"/>
      <w:numFmt w:val="bullet"/>
      <w:lvlText w:val=""/>
      <w:lvlJc w:val="left"/>
      <w:pPr>
        <w:ind w:left="2160" w:hanging="360"/>
      </w:pPr>
      <w:rPr>
        <w:rFonts w:ascii="Wingdings" w:hAnsi="Wingdings" w:hint="default"/>
      </w:rPr>
    </w:lvl>
    <w:lvl w:ilvl="3" w:tplc="F236B41E" w:tentative="1">
      <w:start w:val="1"/>
      <w:numFmt w:val="bullet"/>
      <w:lvlText w:val=""/>
      <w:lvlJc w:val="left"/>
      <w:pPr>
        <w:ind w:left="2880" w:hanging="360"/>
      </w:pPr>
      <w:rPr>
        <w:rFonts w:ascii="Symbol" w:hAnsi="Symbol" w:hint="default"/>
      </w:rPr>
    </w:lvl>
    <w:lvl w:ilvl="4" w:tplc="9472610A" w:tentative="1">
      <w:start w:val="1"/>
      <w:numFmt w:val="bullet"/>
      <w:lvlText w:val="o"/>
      <w:lvlJc w:val="left"/>
      <w:pPr>
        <w:ind w:left="3600" w:hanging="360"/>
      </w:pPr>
      <w:rPr>
        <w:rFonts w:ascii="Courier New" w:hAnsi="Courier New" w:cs="Courier New" w:hint="default"/>
      </w:rPr>
    </w:lvl>
    <w:lvl w:ilvl="5" w:tplc="455AE00A" w:tentative="1">
      <w:start w:val="1"/>
      <w:numFmt w:val="bullet"/>
      <w:lvlText w:val=""/>
      <w:lvlJc w:val="left"/>
      <w:pPr>
        <w:ind w:left="4320" w:hanging="360"/>
      </w:pPr>
      <w:rPr>
        <w:rFonts w:ascii="Wingdings" w:hAnsi="Wingdings" w:hint="default"/>
      </w:rPr>
    </w:lvl>
    <w:lvl w:ilvl="6" w:tplc="685AE6AC" w:tentative="1">
      <w:start w:val="1"/>
      <w:numFmt w:val="bullet"/>
      <w:lvlText w:val=""/>
      <w:lvlJc w:val="left"/>
      <w:pPr>
        <w:ind w:left="5040" w:hanging="360"/>
      </w:pPr>
      <w:rPr>
        <w:rFonts w:ascii="Symbol" w:hAnsi="Symbol" w:hint="default"/>
      </w:rPr>
    </w:lvl>
    <w:lvl w:ilvl="7" w:tplc="DA0ED056" w:tentative="1">
      <w:start w:val="1"/>
      <w:numFmt w:val="bullet"/>
      <w:lvlText w:val="o"/>
      <w:lvlJc w:val="left"/>
      <w:pPr>
        <w:ind w:left="5760" w:hanging="360"/>
      </w:pPr>
      <w:rPr>
        <w:rFonts w:ascii="Courier New" w:hAnsi="Courier New" w:cs="Courier New" w:hint="default"/>
      </w:rPr>
    </w:lvl>
    <w:lvl w:ilvl="8" w:tplc="13701908" w:tentative="1">
      <w:start w:val="1"/>
      <w:numFmt w:val="bullet"/>
      <w:lvlText w:val=""/>
      <w:lvlJc w:val="left"/>
      <w:pPr>
        <w:ind w:left="6480" w:hanging="360"/>
      </w:pPr>
      <w:rPr>
        <w:rFonts w:ascii="Wingdings" w:hAnsi="Wingdings" w:hint="default"/>
      </w:rPr>
    </w:lvl>
  </w:abstractNum>
  <w:abstractNum w:abstractNumId="28"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4"/>
  </w:num>
  <w:num w:numId="2">
    <w:abstractNumId w:val="19"/>
  </w:num>
  <w:num w:numId="3">
    <w:abstractNumId w:val="0"/>
  </w:num>
  <w:num w:numId="4">
    <w:abstractNumId w:val="3"/>
  </w:num>
  <w:num w:numId="5">
    <w:abstractNumId w:val="5"/>
  </w:num>
  <w:num w:numId="6">
    <w:abstractNumId w:val="19"/>
  </w:num>
  <w:num w:numId="7">
    <w:abstractNumId w:val="19"/>
  </w:num>
  <w:num w:numId="8">
    <w:abstractNumId w:val="28"/>
  </w:num>
  <w:num w:numId="9">
    <w:abstractNumId w:val="16"/>
  </w:num>
  <w:num w:numId="10">
    <w:abstractNumId w:val="13"/>
  </w:num>
  <w:num w:numId="11">
    <w:abstractNumId w:val="25"/>
  </w:num>
  <w:num w:numId="12">
    <w:abstractNumId w:val="26"/>
  </w:num>
  <w:num w:numId="13">
    <w:abstractNumId w:val="23"/>
  </w:num>
  <w:num w:numId="14">
    <w:abstractNumId w:val="18"/>
  </w:num>
  <w:num w:numId="15">
    <w:abstractNumId w:val="29"/>
  </w:num>
  <w:num w:numId="16">
    <w:abstractNumId w:val="15"/>
  </w:num>
  <w:num w:numId="17">
    <w:abstractNumId w:val="9"/>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lvlOverride w:ilvl="0">
      <w:startOverride w:val="1"/>
    </w:lvlOverride>
  </w:num>
  <w:num w:numId="22">
    <w:abstractNumId w:val="19"/>
  </w:num>
  <w:num w:numId="23">
    <w:abstractNumId w:val="19"/>
  </w:num>
  <w:num w:numId="24">
    <w:abstractNumId w:val="11"/>
  </w:num>
  <w:num w:numId="25">
    <w:abstractNumId w:val="27"/>
  </w:num>
  <w:num w:numId="26">
    <w:abstractNumId w:val="19"/>
  </w:num>
  <w:num w:numId="27">
    <w:abstractNumId w:val="6"/>
  </w:num>
  <w:num w:numId="28">
    <w:abstractNumId w:val="2"/>
  </w:num>
  <w:num w:numId="29">
    <w:abstractNumId w:val="8"/>
  </w:num>
  <w:num w:numId="30">
    <w:abstractNumId w:val="1"/>
  </w:num>
  <w:num w:numId="31">
    <w:abstractNumId w:val="20"/>
  </w:num>
  <w:num w:numId="32">
    <w:abstractNumId w:val="12"/>
  </w:num>
  <w:num w:numId="33">
    <w:abstractNumId w:val="7"/>
  </w:num>
  <w:num w:numId="34">
    <w:abstractNumId w:val="21"/>
  </w:num>
  <w:num w:numId="35">
    <w:abstractNumId w:val="10"/>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2B7"/>
    <w:rsid w:val="00010BBB"/>
    <w:rsid w:val="000156E0"/>
    <w:rsid w:val="00020AA1"/>
    <w:rsid w:val="00027702"/>
    <w:rsid w:val="00040227"/>
    <w:rsid w:val="00062051"/>
    <w:rsid w:val="00070279"/>
    <w:rsid w:val="00076BD8"/>
    <w:rsid w:val="00085D6A"/>
    <w:rsid w:val="00085D85"/>
    <w:rsid w:val="000B276A"/>
    <w:rsid w:val="000B308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420"/>
    <w:rsid w:val="001448C4"/>
    <w:rsid w:val="00152A1B"/>
    <w:rsid w:val="00155BA3"/>
    <w:rsid w:val="00163192"/>
    <w:rsid w:val="00166397"/>
    <w:rsid w:val="00167158"/>
    <w:rsid w:val="001732BA"/>
    <w:rsid w:val="001877F5"/>
    <w:rsid w:val="00196052"/>
    <w:rsid w:val="00196F31"/>
    <w:rsid w:val="001A2189"/>
    <w:rsid w:val="001A58AE"/>
    <w:rsid w:val="001A63A0"/>
    <w:rsid w:val="001B3B24"/>
    <w:rsid w:val="001C21FC"/>
    <w:rsid w:val="001C2C69"/>
    <w:rsid w:val="001C6455"/>
    <w:rsid w:val="001D27FC"/>
    <w:rsid w:val="001D75DB"/>
    <w:rsid w:val="00203217"/>
    <w:rsid w:val="00223053"/>
    <w:rsid w:val="0023083F"/>
    <w:rsid w:val="00242324"/>
    <w:rsid w:val="00253F18"/>
    <w:rsid w:val="002579C2"/>
    <w:rsid w:val="002652F9"/>
    <w:rsid w:val="002A1180"/>
    <w:rsid w:val="002A19EF"/>
    <w:rsid w:val="002B282C"/>
    <w:rsid w:val="002B7A48"/>
    <w:rsid w:val="002C7DE3"/>
    <w:rsid w:val="002D441C"/>
    <w:rsid w:val="002D7D0C"/>
    <w:rsid w:val="002E0859"/>
    <w:rsid w:val="002E6768"/>
    <w:rsid w:val="00305778"/>
    <w:rsid w:val="00307660"/>
    <w:rsid w:val="0031156B"/>
    <w:rsid w:val="003178E9"/>
    <w:rsid w:val="00317E5D"/>
    <w:rsid w:val="00327B2F"/>
    <w:rsid w:val="003404ED"/>
    <w:rsid w:val="0034156B"/>
    <w:rsid w:val="00347E19"/>
    <w:rsid w:val="003561BE"/>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75D6F"/>
    <w:rsid w:val="004827E4"/>
    <w:rsid w:val="0048449B"/>
    <w:rsid w:val="00497E20"/>
    <w:rsid w:val="004A135F"/>
    <w:rsid w:val="004A5784"/>
    <w:rsid w:val="004B4ECA"/>
    <w:rsid w:val="004C1625"/>
    <w:rsid w:val="004E0B15"/>
    <w:rsid w:val="004F3961"/>
    <w:rsid w:val="004F7D6C"/>
    <w:rsid w:val="0050245B"/>
    <w:rsid w:val="005124E1"/>
    <w:rsid w:val="00515584"/>
    <w:rsid w:val="00525395"/>
    <w:rsid w:val="005407B6"/>
    <w:rsid w:val="00547068"/>
    <w:rsid w:val="00557ECF"/>
    <w:rsid w:val="00587137"/>
    <w:rsid w:val="00587E23"/>
    <w:rsid w:val="005B2FDF"/>
    <w:rsid w:val="005B34F3"/>
    <w:rsid w:val="005B57CA"/>
    <w:rsid w:val="005B5B97"/>
    <w:rsid w:val="005C7A36"/>
    <w:rsid w:val="005C7D76"/>
    <w:rsid w:val="005D0ADD"/>
    <w:rsid w:val="005E1C99"/>
    <w:rsid w:val="005E544C"/>
    <w:rsid w:val="005E6889"/>
    <w:rsid w:val="005F4D23"/>
    <w:rsid w:val="006110DA"/>
    <w:rsid w:val="0061723A"/>
    <w:rsid w:val="00620EF2"/>
    <w:rsid w:val="0062489B"/>
    <w:rsid w:val="0062678D"/>
    <w:rsid w:val="006308BD"/>
    <w:rsid w:val="00633EA5"/>
    <w:rsid w:val="00637672"/>
    <w:rsid w:val="00676F33"/>
    <w:rsid w:val="006805F7"/>
    <w:rsid w:val="0068128E"/>
    <w:rsid w:val="006842FA"/>
    <w:rsid w:val="006853B6"/>
    <w:rsid w:val="0068682C"/>
    <w:rsid w:val="00690A0C"/>
    <w:rsid w:val="00690FD2"/>
    <w:rsid w:val="00693199"/>
    <w:rsid w:val="00696079"/>
    <w:rsid w:val="006A3D1E"/>
    <w:rsid w:val="006A761F"/>
    <w:rsid w:val="006B2FDD"/>
    <w:rsid w:val="006B4B95"/>
    <w:rsid w:val="006B59E2"/>
    <w:rsid w:val="006B7CBC"/>
    <w:rsid w:val="006C18D9"/>
    <w:rsid w:val="006C1BDA"/>
    <w:rsid w:val="006C6449"/>
    <w:rsid w:val="006D3998"/>
    <w:rsid w:val="006E1454"/>
    <w:rsid w:val="006E3870"/>
    <w:rsid w:val="006E692F"/>
    <w:rsid w:val="006E7073"/>
    <w:rsid w:val="006F0C64"/>
    <w:rsid w:val="006F1F38"/>
    <w:rsid w:val="007029B7"/>
    <w:rsid w:val="00735830"/>
    <w:rsid w:val="00737A18"/>
    <w:rsid w:val="00746B89"/>
    <w:rsid w:val="007471D6"/>
    <w:rsid w:val="00762C36"/>
    <w:rsid w:val="00782D9B"/>
    <w:rsid w:val="00785386"/>
    <w:rsid w:val="0079212B"/>
    <w:rsid w:val="007C1458"/>
    <w:rsid w:val="007D1933"/>
    <w:rsid w:val="007E4F92"/>
    <w:rsid w:val="008048D2"/>
    <w:rsid w:val="00804B20"/>
    <w:rsid w:val="00806C60"/>
    <w:rsid w:val="00814CF8"/>
    <w:rsid w:val="008302D7"/>
    <w:rsid w:val="00853565"/>
    <w:rsid w:val="00870CE7"/>
    <w:rsid w:val="008754BE"/>
    <w:rsid w:val="00880C19"/>
    <w:rsid w:val="008849F0"/>
    <w:rsid w:val="0089077E"/>
    <w:rsid w:val="00891331"/>
    <w:rsid w:val="00893AD3"/>
    <w:rsid w:val="0089563B"/>
    <w:rsid w:val="008A6E5C"/>
    <w:rsid w:val="008B2DC6"/>
    <w:rsid w:val="008B384B"/>
    <w:rsid w:val="008B4705"/>
    <w:rsid w:val="008D0D1F"/>
    <w:rsid w:val="008D2398"/>
    <w:rsid w:val="008E3DD1"/>
    <w:rsid w:val="008F0FBC"/>
    <w:rsid w:val="008F6942"/>
    <w:rsid w:val="009026D3"/>
    <w:rsid w:val="00927117"/>
    <w:rsid w:val="00937EF7"/>
    <w:rsid w:val="00952863"/>
    <w:rsid w:val="00961211"/>
    <w:rsid w:val="00966A0F"/>
    <w:rsid w:val="00980050"/>
    <w:rsid w:val="00980B08"/>
    <w:rsid w:val="00980BE0"/>
    <w:rsid w:val="00987BBD"/>
    <w:rsid w:val="009916DC"/>
    <w:rsid w:val="00993CA4"/>
    <w:rsid w:val="009A62A9"/>
    <w:rsid w:val="009B63AB"/>
    <w:rsid w:val="009C0A89"/>
    <w:rsid w:val="009C13EF"/>
    <w:rsid w:val="009C15B1"/>
    <w:rsid w:val="009E6A03"/>
    <w:rsid w:val="009E78BB"/>
    <w:rsid w:val="009F2FC0"/>
    <w:rsid w:val="009F394A"/>
    <w:rsid w:val="009F7769"/>
    <w:rsid w:val="00A11697"/>
    <w:rsid w:val="00A14093"/>
    <w:rsid w:val="00A203FC"/>
    <w:rsid w:val="00A25BC8"/>
    <w:rsid w:val="00A3408F"/>
    <w:rsid w:val="00A43E9C"/>
    <w:rsid w:val="00A53513"/>
    <w:rsid w:val="00A67718"/>
    <w:rsid w:val="00A92572"/>
    <w:rsid w:val="00A92893"/>
    <w:rsid w:val="00A931AA"/>
    <w:rsid w:val="00AA2B13"/>
    <w:rsid w:val="00AC3D8A"/>
    <w:rsid w:val="00AC6BA4"/>
    <w:rsid w:val="00AD0FC5"/>
    <w:rsid w:val="00AD3D55"/>
    <w:rsid w:val="00AD494A"/>
    <w:rsid w:val="00B00D69"/>
    <w:rsid w:val="00B042BC"/>
    <w:rsid w:val="00B06427"/>
    <w:rsid w:val="00B14F11"/>
    <w:rsid w:val="00B41E84"/>
    <w:rsid w:val="00B55C66"/>
    <w:rsid w:val="00B722DE"/>
    <w:rsid w:val="00B818D2"/>
    <w:rsid w:val="00B83068"/>
    <w:rsid w:val="00B838FB"/>
    <w:rsid w:val="00BA76D9"/>
    <w:rsid w:val="00BA799E"/>
    <w:rsid w:val="00BB5D00"/>
    <w:rsid w:val="00BD6603"/>
    <w:rsid w:val="00BE35BA"/>
    <w:rsid w:val="00BE4427"/>
    <w:rsid w:val="00BF069C"/>
    <w:rsid w:val="00BF1838"/>
    <w:rsid w:val="00BF254D"/>
    <w:rsid w:val="00BF378D"/>
    <w:rsid w:val="00BF3835"/>
    <w:rsid w:val="00BF45BD"/>
    <w:rsid w:val="00BF6786"/>
    <w:rsid w:val="00BF67E7"/>
    <w:rsid w:val="00C008B0"/>
    <w:rsid w:val="00C05769"/>
    <w:rsid w:val="00C1002D"/>
    <w:rsid w:val="00C11C55"/>
    <w:rsid w:val="00C14DD3"/>
    <w:rsid w:val="00C16294"/>
    <w:rsid w:val="00C2635E"/>
    <w:rsid w:val="00C31853"/>
    <w:rsid w:val="00C33BF9"/>
    <w:rsid w:val="00C42FFB"/>
    <w:rsid w:val="00C6486C"/>
    <w:rsid w:val="00C648D3"/>
    <w:rsid w:val="00C674AF"/>
    <w:rsid w:val="00C75B02"/>
    <w:rsid w:val="00C77DDE"/>
    <w:rsid w:val="00C86109"/>
    <w:rsid w:val="00C87727"/>
    <w:rsid w:val="00C962F0"/>
    <w:rsid w:val="00CC7192"/>
    <w:rsid w:val="00CD6EF7"/>
    <w:rsid w:val="00D013ED"/>
    <w:rsid w:val="00D06F71"/>
    <w:rsid w:val="00D166EE"/>
    <w:rsid w:val="00D2392E"/>
    <w:rsid w:val="00D265AD"/>
    <w:rsid w:val="00D27F78"/>
    <w:rsid w:val="00D36BDC"/>
    <w:rsid w:val="00D448A1"/>
    <w:rsid w:val="00D5049E"/>
    <w:rsid w:val="00D55FEC"/>
    <w:rsid w:val="00D76955"/>
    <w:rsid w:val="00D859D0"/>
    <w:rsid w:val="00D91C09"/>
    <w:rsid w:val="00D92DD1"/>
    <w:rsid w:val="00D95CAD"/>
    <w:rsid w:val="00D96F5C"/>
    <w:rsid w:val="00DB1DFA"/>
    <w:rsid w:val="00DD516F"/>
    <w:rsid w:val="00DE35FF"/>
    <w:rsid w:val="00DE6237"/>
    <w:rsid w:val="00DF2FB9"/>
    <w:rsid w:val="00E454CD"/>
    <w:rsid w:val="00E55234"/>
    <w:rsid w:val="00E608A6"/>
    <w:rsid w:val="00E60CBC"/>
    <w:rsid w:val="00E63DEF"/>
    <w:rsid w:val="00E64936"/>
    <w:rsid w:val="00E75CF6"/>
    <w:rsid w:val="00E86189"/>
    <w:rsid w:val="00E8703C"/>
    <w:rsid w:val="00EA168C"/>
    <w:rsid w:val="00EA4DF1"/>
    <w:rsid w:val="00EA6689"/>
    <w:rsid w:val="00EA6DDF"/>
    <w:rsid w:val="00EC53C8"/>
    <w:rsid w:val="00EC753F"/>
    <w:rsid w:val="00EE0542"/>
    <w:rsid w:val="00EE11A0"/>
    <w:rsid w:val="00EF3957"/>
    <w:rsid w:val="00F02A0F"/>
    <w:rsid w:val="00F10F21"/>
    <w:rsid w:val="00F13BAA"/>
    <w:rsid w:val="00F26226"/>
    <w:rsid w:val="00F269BB"/>
    <w:rsid w:val="00F271BF"/>
    <w:rsid w:val="00F41387"/>
    <w:rsid w:val="00F463F2"/>
    <w:rsid w:val="00F47A40"/>
    <w:rsid w:val="00F50B8E"/>
    <w:rsid w:val="00F5447C"/>
    <w:rsid w:val="00F5598E"/>
    <w:rsid w:val="00F60A12"/>
    <w:rsid w:val="00F66E0A"/>
    <w:rsid w:val="00F7009F"/>
    <w:rsid w:val="00F70FD9"/>
    <w:rsid w:val="00F74494"/>
    <w:rsid w:val="00F8186D"/>
    <w:rsid w:val="00F8204B"/>
    <w:rsid w:val="00F82282"/>
    <w:rsid w:val="00FB3901"/>
    <w:rsid w:val="00FC0813"/>
    <w:rsid w:val="00FC312D"/>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E72EFB"/>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 BVI fnr,(NECG) Footnote Reference,16 Point,BVI fnr,FO,Footnote,Footnote Reference Number,Footnote Reference1,Footnote Refernece,Footnotes refss,Ref,Superscript 6 Point,de nota al pie,footnote ref,ftref,nota pié di pagina,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ParaCOI">
    <w:name w:val="Para COI"/>
    <w:basedOn w:val="Normal"/>
    <w:link w:val="ParaCOICar"/>
    <w:qFormat/>
    <w:rsid w:val="007D1933"/>
    <w:pPr>
      <w:tabs>
        <w:tab w:val="clear" w:pos="567"/>
        <w:tab w:val="left" w:pos="709"/>
      </w:tabs>
      <w:spacing w:after="240"/>
      <w:jc w:val="both"/>
    </w:pPr>
    <w:rPr>
      <w:szCs w:val="22"/>
      <w:lang w:eastAsia="zh-CN"/>
    </w:rPr>
  </w:style>
  <w:style w:type="character" w:customStyle="1" w:styleId="ParaCOICar">
    <w:name w:val="Para COI Car"/>
    <w:link w:val="ParaCOI"/>
    <w:rsid w:val="007D1933"/>
    <w:rPr>
      <w:rFonts w:ascii="Arial" w:hAnsi="Arial"/>
      <w:snapToGrid w:val="0"/>
      <w:sz w:val="22"/>
      <w:szCs w:val="22"/>
      <w:lang w:val="en-GB" w:eastAsia="zh-CN"/>
    </w:rPr>
  </w:style>
  <w:style w:type="character" w:customStyle="1" w:styleId="UnresolvedMention2">
    <w:name w:val="Unresolved Mention2"/>
    <w:basedOn w:val="DefaultParagraphFont"/>
    <w:uiPriority w:val="99"/>
    <w:semiHidden/>
    <w:unhideWhenUsed/>
    <w:rsid w:val="00E8703C"/>
    <w:rPr>
      <w:color w:val="605E5C"/>
      <w:shd w:val="clear" w:color="auto" w:fill="E1DFDD"/>
    </w:rPr>
  </w:style>
  <w:style w:type="paragraph" w:customStyle="1" w:styleId="Default">
    <w:name w:val="Default"/>
    <w:rsid w:val="009F394A"/>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9F394A"/>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eader" Target="header3.xml"/><Relationship Id="rId18" Type="http://schemas.openxmlformats.org/officeDocument/2006/relationships/hyperlink" Target="https://oceanexpert.org/document/28336" TargetMode="External"/><Relationship Id="rId26" Type="http://schemas.openxmlformats.org/officeDocument/2006/relationships/hyperlink" Target="https://unesdoc.unesco.org/ark:/48223/pf0000125186.page=60" TargetMode="External"/><Relationship Id="rId3" Type="http://schemas.openxmlformats.org/officeDocument/2006/relationships/styles" Target="styles.xml"/><Relationship Id="rId21" Type="http://schemas.openxmlformats.org/officeDocument/2006/relationships/hyperlink" Target="https://oceanexpert.org/document/28092"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ceanexpert.org/document/28396" TargetMode="External"/><Relationship Id="rId25" Type="http://schemas.openxmlformats.org/officeDocument/2006/relationships/hyperlink" Target="https://oceanexpert.org/document/1731"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document/27957" TargetMode="External"/><Relationship Id="rId20" Type="http://schemas.openxmlformats.org/officeDocument/2006/relationships/hyperlink" Target="https://unesdoc.unesco.org/ark:/48223/pf0000375848_fre" TargetMode="External"/><Relationship Id="rId29" Type="http://schemas.openxmlformats.org/officeDocument/2006/relationships/hyperlink" Target="https://unesdoc.unesco.org/ark:/48223/pf0000125186.page=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ceanexpert.org/document/2764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5848_fre" TargetMode="External"/><Relationship Id="rId23" Type="http://schemas.openxmlformats.org/officeDocument/2006/relationships/hyperlink" Target="https://unesdoc.unesco.org/ark:/48223/pf0000373889_fre" TargetMode="External"/><Relationship Id="rId28" Type="http://schemas.openxmlformats.org/officeDocument/2006/relationships/hyperlink" Target="https://unesdoc.unesco.org/ark:/48223/pf0000125186.page=1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oceanexpert.org/document/28297" TargetMode="External"/><Relationship Id="rId31" Type="http://schemas.openxmlformats.org/officeDocument/2006/relationships/hyperlink" Target="https://unesdoc.unesco.org/ark:/48223/pf0000125186.page=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unesdoc.unesco.org/ark:/48223/pf0000125186.locale=en" TargetMode="External"/><Relationship Id="rId27" Type="http://schemas.openxmlformats.org/officeDocument/2006/relationships/hyperlink" Target="https://unesdoc.unesco.org/ark:/48223/pf0000125186.page=60" TargetMode="External"/><Relationship Id="rId30" Type="http://schemas.openxmlformats.org/officeDocument/2006/relationships/hyperlink" Target="https://unesdoc.unesco.org/ark:/48223/pf0000125186.page=46"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C578-F87A-4D9C-BFFD-AA59A547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7</TotalTime>
  <Pages>9</Pages>
  <Words>3015</Words>
  <Characters>17510</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4</cp:revision>
  <cp:lastPrinted>2015-07-20T09:35:00Z</cp:lastPrinted>
  <dcterms:created xsi:type="dcterms:W3CDTF">2021-06-20T08:18:00Z</dcterms:created>
  <dcterms:modified xsi:type="dcterms:W3CDTF">2021-06-20T08:24:00Z</dcterms:modified>
</cp:coreProperties>
</file>