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17E440" w14:textId="77777777" w:rsidR="00E75CF6" w:rsidRPr="006D3998" w:rsidRDefault="00E75CF6"/>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54"/>
      </w:tblGrid>
      <w:tr w:rsidR="00D35CD5" w:rsidRPr="00034835" w14:paraId="0D7A6C37" w14:textId="77777777">
        <w:trPr>
          <w:jc w:val="center"/>
        </w:trPr>
        <w:tc>
          <w:tcPr>
            <w:tcW w:w="7654" w:type="dxa"/>
            <w:tcMar>
              <w:top w:w="170" w:type="dxa"/>
              <w:left w:w="170" w:type="dxa"/>
              <w:bottom w:w="170" w:type="dxa"/>
              <w:right w:w="170" w:type="dxa"/>
            </w:tcMar>
          </w:tcPr>
          <w:p w14:paraId="5B9C229F" w14:textId="77777777" w:rsidR="00467E3F" w:rsidRPr="00034835" w:rsidRDefault="00CB3148" w:rsidP="00853565">
            <w:pPr>
              <w:pStyle w:val="Marge"/>
              <w:jc w:val="center"/>
              <w:rPr>
                <w:rFonts w:cs="Arial"/>
                <w:szCs w:val="22"/>
              </w:rPr>
            </w:pPr>
            <w:r w:rsidRPr="00034835">
              <w:rPr>
                <w:rFonts w:cs="Arial"/>
                <w:szCs w:val="22"/>
                <w:u w:val="single"/>
                <w:lang w:val="es"/>
              </w:rPr>
              <w:t>Resumen</w:t>
            </w:r>
          </w:p>
          <w:p w14:paraId="0FE92786" w14:textId="77777777" w:rsidR="00737A18" w:rsidRPr="00034835" w:rsidRDefault="00CB3148" w:rsidP="0037249C">
            <w:pPr>
              <w:pStyle w:val="Marge"/>
              <w:rPr>
                <w:rFonts w:cs="Arial"/>
                <w:szCs w:val="22"/>
              </w:rPr>
            </w:pPr>
            <w:r w:rsidRPr="00034835">
              <w:rPr>
                <w:rFonts w:cs="Arial"/>
                <w:szCs w:val="22"/>
                <w:lang w:val="es"/>
              </w:rPr>
              <w:t>Este documento presenta un breve informe del Presidente del Grupo Asesor sobre Finanzas para el período entre reuniones (IFAG, por sus siglas en inglés) sobre la labor realizada en el período entre reuniones de abril a junio de 2021.</w:t>
            </w:r>
          </w:p>
          <w:p w14:paraId="7E9DF985" w14:textId="77777777" w:rsidR="00515584" w:rsidRPr="00034835" w:rsidRDefault="00CB3148" w:rsidP="00980BE0">
            <w:pPr>
              <w:pStyle w:val="Marge"/>
              <w:rPr>
                <w:rFonts w:cs="Arial"/>
                <w:szCs w:val="22"/>
              </w:rPr>
            </w:pPr>
            <w:r w:rsidRPr="00034835">
              <w:rPr>
                <w:rFonts w:cs="Arial"/>
                <w:u w:val="single"/>
                <w:lang w:val="es"/>
              </w:rPr>
              <w:t>La decisión propuesta</w:t>
            </w:r>
            <w:r w:rsidRPr="00034835">
              <w:rPr>
                <w:rFonts w:cs="Arial"/>
                <w:lang w:val="es"/>
              </w:rPr>
              <w:t xml:space="preserve"> </w:t>
            </w:r>
            <w:r w:rsidRPr="00034835">
              <w:rPr>
                <w:rFonts w:cs="Arial"/>
                <w:lang w:val="es"/>
              </w:rPr>
              <w:t xml:space="preserve">se menciona como </w:t>
            </w:r>
            <w:r w:rsidRPr="00034835">
              <w:rPr>
                <w:rFonts w:cs="Arial"/>
                <w:color w:val="000000"/>
                <w:lang w:val="es"/>
              </w:rPr>
              <w:t>IOC/A-31/Dec.4.3</w:t>
            </w:r>
            <w:r w:rsidRPr="00034835">
              <w:rPr>
                <w:rFonts w:cs="Arial"/>
                <w:b/>
                <w:bCs/>
                <w:color w:val="000000"/>
                <w:lang w:val="es"/>
              </w:rPr>
              <w:t xml:space="preserve"> </w:t>
            </w:r>
            <w:r w:rsidRPr="00034835">
              <w:rPr>
                <w:rFonts w:cs="Arial"/>
                <w:lang w:val="es"/>
              </w:rPr>
              <w:t>en el segundo documento de decisión revisado (</w:t>
            </w:r>
            <w:hyperlink r:id="rId8" w:history="1">
              <w:r w:rsidRPr="00034835">
                <w:rPr>
                  <w:rStyle w:val="Hyperlink"/>
                  <w:rFonts w:cs="Arial"/>
                  <w:lang w:val="es"/>
                </w:rPr>
                <w:t>IOC/A-31/AP Rev.</w:t>
              </w:r>
            </w:hyperlink>
            <w:r w:rsidRPr="00034835">
              <w:rPr>
                <w:rStyle w:val="Hyperlink"/>
                <w:rFonts w:cs="Arial"/>
                <w:lang w:val="es"/>
              </w:rPr>
              <w:t>2</w:t>
            </w:r>
            <w:r w:rsidRPr="00034835">
              <w:rPr>
                <w:rFonts w:cs="Arial"/>
                <w:lang w:val="es"/>
              </w:rPr>
              <w:t>) de la 31ª reunión de la Asamblea de la COI.</w:t>
            </w:r>
          </w:p>
        </w:tc>
      </w:tr>
    </w:tbl>
    <w:p w14:paraId="2C962810" w14:textId="77777777" w:rsidR="00746B89" w:rsidRPr="00034835" w:rsidRDefault="00746B89" w:rsidP="005C7A36">
      <w:pPr>
        <w:pStyle w:val="Heading3"/>
        <w:sectPr w:rsidR="00746B89" w:rsidRPr="00034835" w:rsidSect="003F7186">
          <w:headerReference w:type="even" r:id="rId9"/>
          <w:headerReference w:type="default" r:id="rId10"/>
          <w:headerReference w:type="first" r:id="rId11"/>
          <w:type w:val="continuous"/>
          <w:pgSz w:w="11906" w:h="16838" w:code="9"/>
          <w:pgMar w:top="1418" w:right="1134" w:bottom="1134" w:left="1134" w:header="709" w:footer="680" w:gutter="0"/>
          <w:pgNumType w:start="1"/>
          <w:cols w:space="708"/>
          <w:titlePg/>
          <w:docGrid w:linePitch="360"/>
        </w:sectPr>
      </w:pPr>
    </w:p>
    <w:p w14:paraId="178BBC7D" w14:textId="77777777" w:rsidR="0061723A" w:rsidRPr="00034835" w:rsidRDefault="00CB3148" w:rsidP="00034835">
      <w:pPr>
        <w:numPr>
          <w:ilvl w:val="0"/>
          <w:numId w:val="33"/>
        </w:numPr>
        <w:tabs>
          <w:tab w:val="clear" w:pos="567"/>
          <w:tab w:val="left" w:pos="709"/>
        </w:tabs>
        <w:spacing w:after="240"/>
        <w:ind w:left="0" w:firstLine="0"/>
        <w:jc w:val="both"/>
        <w:rPr>
          <w:rStyle w:val="Hyperlink"/>
          <w:rFonts w:asciiTheme="minorBidi" w:hAnsiTheme="minorBidi" w:cstheme="minorBidi"/>
          <w:snapToGrid/>
          <w:color w:val="auto"/>
          <w:szCs w:val="22"/>
          <w:u w:val="none"/>
        </w:rPr>
      </w:pPr>
      <w:r w:rsidRPr="00034835">
        <w:rPr>
          <w:rFonts w:asciiTheme="minorBidi" w:hAnsiTheme="minorBidi" w:cstheme="minorBidi"/>
          <w:snapToGrid/>
          <w:lang w:val="es"/>
        </w:rPr>
        <w:lastRenderedPageBreak/>
        <w:t xml:space="preserve">De acuerdo con la Resolución </w:t>
      </w:r>
      <w:hyperlink r:id="rId12" w:history="1">
        <w:r w:rsidRPr="00034835">
          <w:rPr>
            <w:rStyle w:val="Hyperlink"/>
            <w:rFonts w:asciiTheme="minorBidi" w:hAnsiTheme="minorBidi" w:cstheme="minorBidi"/>
            <w:snapToGrid/>
            <w:lang w:val="es"/>
          </w:rPr>
          <w:t>EC-53/2</w:t>
        </w:r>
      </w:hyperlink>
      <w:r w:rsidRPr="00034835">
        <w:rPr>
          <w:rFonts w:asciiTheme="minorBidi" w:hAnsiTheme="minorBidi" w:cstheme="minorBidi"/>
          <w:snapToGrid/>
          <w:lang w:val="es"/>
        </w:rPr>
        <w:t xml:space="preserve"> se reconstituyó el Grupo Asesor sobre Finanzas para el período entre reuniones, de composición abierta, mediante una convocatoria de candidaturas dirigida a los Estados Miembros en las </w:t>
      </w:r>
      <w:hyperlink r:id="rId13" w:history="1">
        <w:r w:rsidRPr="00034835">
          <w:rPr>
            <w:rStyle w:val="Hyperlink"/>
            <w:rFonts w:asciiTheme="minorBidi" w:hAnsiTheme="minorBidi" w:cstheme="minorBidi"/>
            <w:snapToGrid/>
            <w:lang w:val="es"/>
          </w:rPr>
          <w:t>Cartas Circular</w:t>
        </w:r>
        <w:r w:rsidRPr="00034835">
          <w:rPr>
            <w:rStyle w:val="Hyperlink"/>
            <w:rFonts w:asciiTheme="minorBidi" w:hAnsiTheme="minorBidi" w:cstheme="minorBidi"/>
            <w:snapToGrid/>
            <w:lang w:val="es"/>
          </w:rPr>
          <w:t>es de la COI, 2837</w:t>
        </w:r>
      </w:hyperlink>
      <w:r w:rsidRPr="00034835">
        <w:rPr>
          <w:rFonts w:asciiTheme="minorBidi" w:hAnsiTheme="minorBidi" w:cstheme="minorBidi"/>
          <w:snapToGrid/>
          <w:lang w:val="es"/>
        </w:rPr>
        <w:t xml:space="preserve"> del 18 de marzo de 2021. Veintidós (22) Estados Miembros —</w:t>
      </w:r>
      <w:r w:rsidRPr="00034835">
        <w:rPr>
          <w:rStyle w:val="Hyperlink"/>
          <w:color w:val="auto"/>
          <w:u w:val="none"/>
          <w:lang w:val="es"/>
        </w:rPr>
        <w:t>Argentina, Australia, Bangladesh, Bélgica, Benín, Brasil, Canadá, China, Egipto, Francia, Alemania, Japón, Jordania, Kuwait, Madagascar, Noruega, Filipinas, Portugal, Federación d</w:t>
      </w:r>
      <w:r w:rsidRPr="00034835">
        <w:rPr>
          <w:rStyle w:val="Hyperlink"/>
          <w:color w:val="auto"/>
          <w:u w:val="none"/>
          <w:lang w:val="es"/>
        </w:rPr>
        <w:t>e Rusia, Turquía, Reino Unido y Estados Unidos— designaron representantes para constituir el núcleo del Grupo, presidido por el Vicepresidente del COI, Karim Hilmi, de Marruecos.</w:t>
      </w:r>
    </w:p>
    <w:p w14:paraId="66CAD69B" w14:textId="77777777" w:rsidR="00927117" w:rsidRPr="00034835" w:rsidRDefault="00CB3148" w:rsidP="00034835">
      <w:pPr>
        <w:numPr>
          <w:ilvl w:val="0"/>
          <w:numId w:val="33"/>
        </w:numPr>
        <w:tabs>
          <w:tab w:val="clear" w:pos="567"/>
          <w:tab w:val="left" w:pos="709"/>
        </w:tabs>
        <w:spacing w:after="240"/>
        <w:ind w:left="0" w:firstLine="0"/>
        <w:jc w:val="both"/>
        <w:rPr>
          <w:rFonts w:asciiTheme="minorBidi" w:hAnsiTheme="minorBidi" w:cstheme="minorBidi"/>
          <w:snapToGrid/>
        </w:rPr>
      </w:pPr>
      <w:r w:rsidRPr="00034835">
        <w:rPr>
          <w:rFonts w:asciiTheme="minorBidi" w:hAnsiTheme="minorBidi" w:cstheme="minorBidi"/>
          <w:snapToGrid/>
          <w:lang w:val="es"/>
        </w:rPr>
        <w:t xml:space="preserve">Como es habitual, el Grupo comenzó a trabajar por correspondencia y finalizó </w:t>
      </w:r>
      <w:r w:rsidRPr="00034835">
        <w:rPr>
          <w:rFonts w:asciiTheme="minorBidi" w:hAnsiTheme="minorBidi" w:cstheme="minorBidi"/>
          <w:snapToGrid/>
          <w:lang w:val="es"/>
        </w:rPr>
        <w:t>sus conclusiones en una reunión virtual el 10 de junio de 2021.</w:t>
      </w:r>
    </w:p>
    <w:p w14:paraId="0E97F84A" w14:textId="77777777" w:rsidR="001A2189" w:rsidRPr="00034835" w:rsidRDefault="00CB3148" w:rsidP="00034835">
      <w:pPr>
        <w:numPr>
          <w:ilvl w:val="0"/>
          <w:numId w:val="33"/>
        </w:numPr>
        <w:tabs>
          <w:tab w:val="clear" w:pos="567"/>
          <w:tab w:val="left" w:pos="709"/>
        </w:tabs>
        <w:spacing w:after="240"/>
        <w:ind w:left="0" w:firstLine="0"/>
        <w:jc w:val="both"/>
        <w:rPr>
          <w:rFonts w:asciiTheme="minorBidi" w:hAnsiTheme="minorBidi" w:cstheme="minorBidi"/>
          <w:snapToGrid/>
        </w:rPr>
      </w:pPr>
      <w:r w:rsidRPr="00034835">
        <w:rPr>
          <w:rFonts w:asciiTheme="minorBidi" w:hAnsiTheme="minorBidi"/>
          <w:snapToGrid/>
          <w:lang w:val="es"/>
        </w:rPr>
        <w:t xml:space="preserve">Centrándose, según el mandato del Consejo Ejecutivo en su 53.ª reunión, en las cuestiones que debe abarcar el proyecto de resolución </w:t>
      </w:r>
      <w:r w:rsidRPr="00034835">
        <w:rPr>
          <w:color w:val="000000"/>
          <w:szCs w:val="22"/>
          <w:u w:val="single"/>
          <w:lang w:val="es"/>
        </w:rPr>
        <w:t>A-31/[4.4]</w:t>
      </w:r>
      <w:r w:rsidRPr="00034835">
        <w:rPr>
          <w:rFonts w:asciiTheme="minorBidi" w:hAnsiTheme="minorBidi"/>
          <w:snapToGrid/>
          <w:lang w:val="es"/>
        </w:rPr>
        <w:t xml:space="preserve"> el Grupo estructuró sus debates en cuatro partes</w:t>
      </w:r>
      <w:r w:rsidRPr="00034835">
        <w:rPr>
          <w:rFonts w:asciiTheme="minorBidi" w:hAnsiTheme="minorBidi"/>
          <w:snapToGrid/>
          <w:lang w:val="es"/>
        </w:rPr>
        <w:t xml:space="preserve"> principales que se presentan a continuación.</w:t>
      </w:r>
    </w:p>
    <w:p w14:paraId="771CEBA6" w14:textId="77777777" w:rsidR="005B34F3" w:rsidRPr="00034835" w:rsidRDefault="00CB3148" w:rsidP="00034835">
      <w:pPr>
        <w:pStyle w:val="ListParagraph"/>
        <w:numPr>
          <w:ilvl w:val="0"/>
          <w:numId w:val="30"/>
        </w:numPr>
        <w:tabs>
          <w:tab w:val="clear" w:pos="709"/>
          <w:tab w:val="left" w:pos="360"/>
        </w:tabs>
        <w:snapToGrid w:val="0"/>
        <w:spacing w:after="240"/>
        <w:contextualSpacing w:val="0"/>
        <w:jc w:val="center"/>
        <w:rPr>
          <w:rStyle w:val="Hyperlink"/>
          <w:rFonts w:asciiTheme="minorBidi" w:hAnsiTheme="minorBidi" w:cstheme="minorBidi"/>
          <w:b/>
          <w:iCs/>
          <w:color w:val="auto"/>
          <w:szCs w:val="22"/>
          <w:u w:val="none"/>
        </w:rPr>
      </w:pPr>
      <w:r w:rsidRPr="00034835">
        <w:rPr>
          <w:rFonts w:asciiTheme="minorBidi" w:eastAsia="Calibri" w:hAnsiTheme="minorBidi" w:cstheme="minorBidi"/>
          <w:b/>
          <w:bCs/>
          <w:sz w:val="22"/>
          <w:szCs w:val="22"/>
          <w:lang w:val="es"/>
        </w:rPr>
        <w:t>Ejecución del presupuesto 2020-2021 a 31 de diciembre de 2020 y Situación financiera de la Cuenta Especial de la COI a finales de 2020 y previsión para 2021</w:t>
      </w:r>
    </w:p>
    <w:p w14:paraId="2B89250F" w14:textId="77777777" w:rsidR="00927117" w:rsidRPr="00034835" w:rsidRDefault="00CB3148" w:rsidP="00034835">
      <w:pPr>
        <w:numPr>
          <w:ilvl w:val="0"/>
          <w:numId w:val="33"/>
        </w:numPr>
        <w:tabs>
          <w:tab w:val="clear" w:pos="567"/>
          <w:tab w:val="left" w:pos="709"/>
        </w:tabs>
        <w:spacing w:after="240"/>
        <w:ind w:left="0" w:firstLine="0"/>
        <w:jc w:val="both"/>
        <w:rPr>
          <w:rStyle w:val="Hyperlink"/>
          <w:color w:val="auto"/>
          <w:u w:val="none"/>
        </w:rPr>
      </w:pPr>
      <w:r w:rsidRPr="00034835">
        <w:rPr>
          <w:rStyle w:val="Hyperlink"/>
          <w:color w:val="auto"/>
          <w:u w:val="none"/>
          <w:lang w:val="es"/>
        </w:rPr>
        <w:t>El Grupo tomó nota del cambio en la presentación, con la información organizada ahora en un conjunt</w:t>
      </w:r>
      <w:r w:rsidRPr="00034835">
        <w:rPr>
          <w:rStyle w:val="Hyperlink"/>
          <w:color w:val="auto"/>
          <w:u w:val="none"/>
          <w:lang w:val="es"/>
        </w:rPr>
        <w:t xml:space="preserve">o de dos </w:t>
      </w:r>
      <w:r w:rsidRPr="00034835">
        <w:rPr>
          <w:rFonts w:asciiTheme="minorBidi" w:hAnsiTheme="minorBidi" w:cstheme="minorBidi"/>
          <w:snapToGrid/>
          <w:lang w:val="es"/>
        </w:rPr>
        <w:t>documentos —</w:t>
      </w:r>
      <w:hyperlink r:id="rId14" w:history="1">
        <w:r w:rsidRPr="00034835">
          <w:rPr>
            <w:rStyle w:val="Hyperlink"/>
            <w:rFonts w:asciiTheme="minorBidi" w:eastAsia="Calibri" w:hAnsiTheme="minorBidi" w:cstheme="minorBidi"/>
            <w:szCs w:val="22"/>
            <w:lang w:val="es"/>
          </w:rPr>
          <w:t>IOC/A-31/3.2.Doc(2)</w:t>
        </w:r>
      </w:hyperlink>
      <w:r w:rsidRPr="00034835">
        <w:rPr>
          <w:rFonts w:asciiTheme="minorBidi" w:hAnsiTheme="minorBidi" w:cstheme="minorBidi"/>
          <w:szCs w:val="22"/>
          <w:lang w:val="es"/>
        </w:rPr>
        <w:t xml:space="preserve"> y </w:t>
      </w:r>
      <w:hyperlink r:id="rId15" w:history="1">
        <w:r w:rsidRPr="00034835">
          <w:rPr>
            <w:rStyle w:val="Hyperlink"/>
            <w:rFonts w:asciiTheme="minorBidi" w:eastAsia="Calibri" w:hAnsiTheme="minorBidi" w:cstheme="minorBidi"/>
            <w:szCs w:val="22"/>
            <w:lang w:val="es"/>
          </w:rPr>
          <w:t>IOC/A-31/3.2.Doc(3)</w:t>
        </w:r>
      </w:hyperlink>
      <w:r w:rsidRPr="00034835">
        <w:rPr>
          <w:rFonts w:asciiTheme="minorBidi" w:hAnsiTheme="minorBidi" w:cstheme="minorBidi"/>
          <w:szCs w:val="22"/>
          <w:lang w:val="es"/>
        </w:rPr>
        <w:t xml:space="preserve">— </w:t>
      </w:r>
      <w:r w:rsidRPr="00034835">
        <w:rPr>
          <w:rStyle w:val="Hyperlink"/>
          <w:color w:val="auto"/>
          <w:u w:val="none"/>
          <w:lang w:val="es"/>
        </w:rPr>
        <w:t xml:space="preserve">a fin de ajustarse mejor al enfoque adoptado por la UNESCO en sus informes sobre gestión financiera. </w:t>
      </w:r>
    </w:p>
    <w:p w14:paraId="475F7DB3" w14:textId="77777777" w:rsidR="00BA799E" w:rsidRPr="00034835" w:rsidRDefault="00CB3148" w:rsidP="00034835">
      <w:pPr>
        <w:numPr>
          <w:ilvl w:val="0"/>
          <w:numId w:val="33"/>
        </w:numPr>
        <w:tabs>
          <w:tab w:val="clear" w:pos="567"/>
          <w:tab w:val="left" w:pos="709"/>
        </w:tabs>
        <w:spacing w:after="240"/>
        <w:ind w:left="0" w:firstLine="0"/>
        <w:jc w:val="both"/>
        <w:rPr>
          <w:rFonts w:asciiTheme="minorBidi" w:eastAsia="Calibri" w:hAnsiTheme="minorBidi" w:cstheme="minorBidi"/>
          <w:b/>
          <w:szCs w:val="22"/>
        </w:rPr>
      </w:pPr>
      <w:r w:rsidRPr="00034835">
        <w:rPr>
          <w:rFonts w:asciiTheme="minorBidi" w:eastAsia="Calibri" w:hAnsiTheme="minorBidi" w:cstheme="minorBidi"/>
          <w:szCs w:val="22"/>
          <w:lang w:val="es"/>
        </w:rPr>
        <w:t xml:space="preserve">Observando un índice de ejecución ligeramente inferior al habitual en el primer año del bienio 2020-2021, debido a las condiciones de trabajo en el marco </w:t>
      </w:r>
      <w:r w:rsidRPr="00034835">
        <w:rPr>
          <w:rFonts w:asciiTheme="minorBidi" w:eastAsia="Calibri" w:hAnsiTheme="minorBidi" w:cstheme="minorBidi"/>
          <w:szCs w:val="22"/>
          <w:lang w:val="es"/>
        </w:rPr>
        <w:t>de la pandemia de COVID-19, el IFAG reconoció la intención de la Secretaría de ejecutar plenamente el programa de trabajo bienal a finales de 2021.</w:t>
      </w:r>
    </w:p>
    <w:p w14:paraId="35662048" w14:textId="77777777" w:rsidR="00BA799E" w:rsidRPr="00034835" w:rsidRDefault="00CB3148" w:rsidP="00034835">
      <w:pPr>
        <w:numPr>
          <w:ilvl w:val="0"/>
          <w:numId w:val="33"/>
        </w:numPr>
        <w:tabs>
          <w:tab w:val="clear" w:pos="567"/>
          <w:tab w:val="left" w:pos="709"/>
        </w:tabs>
        <w:spacing w:after="240"/>
        <w:ind w:left="0" w:firstLine="0"/>
        <w:jc w:val="both"/>
        <w:rPr>
          <w:rStyle w:val="Hyperlink"/>
          <w:i/>
          <w:color w:val="auto"/>
          <w:u w:val="none"/>
        </w:rPr>
      </w:pPr>
      <w:r w:rsidRPr="00034835">
        <w:rPr>
          <w:rFonts w:asciiTheme="minorBidi" w:hAnsiTheme="minorBidi" w:cstheme="minorBidi"/>
          <w:snapToGrid/>
          <w:lang w:val="es"/>
        </w:rPr>
        <w:t>El</w:t>
      </w:r>
      <w:r w:rsidRPr="00034835">
        <w:rPr>
          <w:rFonts w:asciiTheme="minorBidi" w:hAnsiTheme="minorBidi" w:cstheme="minorBidi"/>
          <w:szCs w:val="22"/>
          <w:lang w:val="es"/>
        </w:rPr>
        <w:t xml:space="preserve"> Grupo se mostró satisfecho con el hecho de que los objetivos de movilización de recursos extrapresupuesta</w:t>
      </w:r>
      <w:r w:rsidRPr="00034835">
        <w:rPr>
          <w:rFonts w:asciiTheme="minorBidi" w:hAnsiTheme="minorBidi" w:cstheme="minorBidi"/>
          <w:szCs w:val="22"/>
          <w:lang w:val="es"/>
        </w:rPr>
        <w:t>rios fijados para el bienio 2020-2021 se hayan alcanzado a un nivel del 76% en general, si bien observó considerables variaciones entre las funciones de la Comisión;</w:t>
      </w:r>
    </w:p>
    <w:p w14:paraId="29F14558" w14:textId="77777777" w:rsidR="005B34F3" w:rsidRPr="00034835" w:rsidRDefault="00CB3148" w:rsidP="00034835">
      <w:pPr>
        <w:pStyle w:val="ListParagraph"/>
        <w:numPr>
          <w:ilvl w:val="0"/>
          <w:numId w:val="30"/>
        </w:numPr>
        <w:tabs>
          <w:tab w:val="clear" w:pos="709"/>
          <w:tab w:val="left" w:pos="360"/>
        </w:tabs>
        <w:snapToGrid w:val="0"/>
        <w:spacing w:after="240"/>
        <w:contextualSpacing w:val="0"/>
        <w:jc w:val="center"/>
        <w:rPr>
          <w:rFonts w:asciiTheme="minorBidi" w:eastAsia="Calibri" w:hAnsiTheme="minorBidi" w:cstheme="minorBidi"/>
          <w:b/>
          <w:iCs/>
          <w:szCs w:val="22"/>
        </w:rPr>
      </w:pPr>
      <w:r w:rsidRPr="00034835">
        <w:rPr>
          <w:rFonts w:asciiTheme="minorBidi" w:eastAsia="Calibri" w:hAnsiTheme="minorBidi" w:cstheme="minorBidi"/>
          <w:b/>
          <w:bCs/>
          <w:sz w:val="22"/>
          <w:szCs w:val="22"/>
          <w:lang w:val="es"/>
        </w:rPr>
        <w:t xml:space="preserve">Proyecto de Estrategia a Plazo Medio para 2022-2029 </w:t>
      </w:r>
    </w:p>
    <w:p w14:paraId="27FE1CFC" w14:textId="77777777" w:rsidR="009F394A" w:rsidRPr="00034835" w:rsidRDefault="00CB3148" w:rsidP="00034835">
      <w:pPr>
        <w:numPr>
          <w:ilvl w:val="0"/>
          <w:numId w:val="33"/>
        </w:numPr>
        <w:tabs>
          <w:tab w:val="clear" w:pos="567"/>
          <w:tab w:val="left" w:pos="709"/>
        </w:tabs>
        <w:spacing w:after="240"/>
        <w:ind w:left="0" w:firstLine="0"/>
        <w:jc w:val="both"/>
        <w:rPr>
          <w:rFonts w:asciiTheme="minorBidi" w:eastAsia="Calibri" w:hAnsiTheme="minorBidi" w:cstheme="minorBidi"/>
          <w:i/>
          <w:szCs w:val="22"/>
        </w:rPr>
      </w:pPr>
      <w:r w:rsidRPr="00034835">
        <w:rPr>
          <w:lang w:val="es"/>
        </w:rPr>
        <w:t xml:space="preserve">El </w:t>
      </w:r>
      <w:r w:rsidRPr="00034835">
        <w:rPr>
          <w:rFonts w:asciiTheme="minorBidi" w:hAnsiTheme="minorBidi" w:cstheme="minorBidi"/>
          <w:snapToGrid/>
          <w:lang w:val="es"/>
        </w:rPr>
        <w:t>IFAG</w:t>
      </w:r>
      <w:r w:rsidRPr="00034835">
        <w:rPr>
          <w:rStyle w:val="Hyperlink"/>
          <w:color w:val="auto"/>
          <w:u w:val="none"/>
          <w:lang w:val="es"/>
        </w:rPr>
        <w:t xml:space="preserve"> acogió con satisfacción la versión revisada del Proyecto de Estrategia a Plazo Medio para 2022-2029 presentada en el documento </w:t>
      </w:r>
      <w:hyperlink r:id="rId16" w:history="1">
        <w:r w:rsidRPr="00034835">
          <w:rPr>
            <w:rStyle w:val="Hyperlink"/>
            <w:rFonts w:asciiTheme="minorBidi" w:eastAsia="Calibri" w:hAnsiTheme="minorBidi" w:cstheme="minorBidi"/>
            <w:szCs w:val="22"/>
            <w:lang w:val="es"/>
          </w:rPr>
          <w:t>IOC/A-31/4.1.Doc(1)</w:t>
        </w:r>
      </w:hyperlink>
      <w:r w:rsidRPr="00034835">
        <w:rPr>
          <w:rFonts w:asciiTheme="minorBidi" w:hAnsiTheme="minorBidi" w:cstheme="minorBidi"/>
          <w:szCs w:val="22"/>
          <w:u w:val="single"/>
          <w:lang w:val="es"/>
        </w:rPr>
        <w:t>,</w:t>
      </w:r>
      <w:r w:rsidRPr="00034835">
        <w:rPr>
          <w:rFonts w:asciiTheme="minorBidi" w:hAnsiTheme="minorBidi" w:cstheme="minorBidi"/>
          <w:i/>
          <w:iCs/>
          <w:szCs w:val="22"/>
          <w:lang w:val="es"/>
        </w:rPr>
        <w:t xml:space="preserve"> </w:t>
      </w:r>
      <w:r w:rsidRPr="00034835">
        <w:rPr>
          <w:rFonts w:asciiTheme="minorBidi" w:hAnsiTheme="minorBidi" w:cstheme="minorBidi"/>
          <w:szCs w:val="22"/>
          <w:lang w:val="es"/>
        </w:rPr>
        <w:t>por ser coherente con las recomendaciones del Consej</w:t>
      </w:r>
      <w:r w:rsidRPr="00034835">
        <w:rPr>
          <w:rFonts w:asciiTheme="minorBidi" w:hAnsiTheme="minorBidi" w:cstheme="minorBidi"/>
          <w:szCs w:val="22"/>
          <w:lang w:val="es"/>
        </w:rPr>
        <w:t xml:space="preserve">o Ejecutivo de la COI a través de la </w:t>
      </w:r>
      <w:hyperlink r:id="rId17" w:history="1">
        <w:r w:rsidRPr="00034835">
          <w:rPr>
            <w:rStyle w:val="Hyperlink"/>
            <w:rFonts w:asciiTheme="minorBidi" w:eastAsia="Calibri" w:hAnsiTheme="minorBidi" w:cstheme="minorBidi"/>
            <w:szCs w:val="22"/>
            <w:lang w:val="es"/>
          </w:rPr>
          <w:t>Resolución EC-53/2</w:t>
        </w:r>
      </w:hyperlink>
      <w:r w:rsidRPr="00034835">
        <w:rPr>
          <w:rFonts w:asciiTheme="minorBidi" w:hAnsiTheme="minorBidi" w:cstheme="minorBidi"/>
          <w:szCs w:val="22"/>
          <w:lang w:val="es"/>
        </w:rPr>
        <w:t>. Al prepararse para el debate en la Asamblea, los miembros del IFAG consideraron que podrían tenerse en cuenta otras mejora</w:t>
      </w:r>
      <w:r w:rsidRPr="00034835">
        <w:rPr>
          <w:rFonts w:asciiTheme="minorBidi" w:hAnsiTheme="minorBidi" w:cstheme="minorBidi"/>
          <w:szCs w:val="22"/>
          <w:lang w:val="es"/>
        </w:rPr>
        <w:t>s</w:t>
      </w:r>
      <w:r w:rsidRPr="00034835">
        <w:rPr>
          <w:rFonts w:asciiTheme="minorBidi" w:hAnsiTheme="minorBidi" w:cstheme="minorBidi"/>
          <w:szCs w:val="22"/>
          <w:lang w:val="es"/>
        </w:rPr>
        <w:t xml:space="preserve">. Varios Estados Miembros se comprometieron a enviar a la Secretaría sus propuestas de edición y comentarios con miras a preparar un documento de síntesis revisado para su consideración en el Comité de Finanzas de la reunión. </w:t>
      </w:r>
    </w:p>
    <w:p w14:paraId="5AAAA51F" w14:textId="77777777" w:rsidR="00927117" w:rsidRPr="00034835" w:rsidRDefault="00CB3148" w:rsidP="00034835">
      <w:pPr>
        <w:pStyle w:val="ListParagraph"/>
        <w:numPr>
          <w:ilvl w:val="0"/>
          <w:numId w:val="30"/>
        </w:numPr>
        <w:tabs>
          <w:tab w:val="clear" w:pos="709"/>
          <w:tab w:val="left" w:pos="360"/>
        </w:tabs>
        <w:snapToGrid w:val="0"/>
        <w:spacing w:after="240"/>
        <w:contextualSpacing w:val="0"/>
        <w:jc w:val="center"/>
        <w:rPr>
          <w:rFonts w:asciiTheme="minorBidi" w:eastAsia="Calibri" w:hAnsiTheme="minorBidi" w:cstheme="minorBidi"/>
          <w:b/>
          <w:iCs/>
          <w:sz w:val="22"/>
          <w:szCs w:val="22"/>
        </w:rPr>
      </w:pPr>
      <w:r w:rsidRPr="00034835">
        <w:rPr>
          <w:rFonts w:asciiTheme="minorBidi" w:eastAsia="Calibri" w:hAnsiTheme="minorBidi" w:cstheme="minorBidi"/>
          <w:b/>
          <w:bCs/>
          <w:sz w:val="22"/>
          <w:szCs w:val="22"/>
          <w:lang w:val="es"/>
        </w:rPr>
        <w:t>Proyecto de programa y presupuesto para 2022-2025</w:t>
      </w:r>
    </w:p>
    <w:p w14:paraId="5F8D6B3B" w14:textId="3AD49306" w:rsidR="00034835" w:rsidRDefault="00CB3148" w:rsidP="00034835">
      <w:pPr>
        <w:numPr>
          <w:ilvl w:val="0"/>
          <w:numId w:val="33"/>
        </w:numPr>
        <w:tabs>
          <w:tab w:val="clear" w:pos="567"/>
          <w:tab w:val="left" w:pos="709"/>
        </w:tabs>
        <w:spacing w:after="240"/>
        <w:ind w:left="0" w:firstLine="0"/>
        <w:jc w:val="both"/>
        <w:rPr>
          <w:rFonts w:asciiTheme="minorBidi" w:hAnsiTheme="minorBidi" w:cstheme="minorBidi"/>
          <w:szCs w:val="22"/>
          <w:lang w:val="es"/>
        </w:rPr>
      </w:pPr>
      <w:r w:rsidRPr="00034835">
        <w:rPr>
          <w:rFonts w:asciiTheme="minorBidi" w:hAnsiTheme="minorBidi" w:cstheme="minorBidi"/>
          <w:szCs w:val="22"/>
          <w:lang w:val="es"/>
        </w:rPr>
        <w:t xml:space="preserve">En cuanto al Proyecto de Programa y Presupuesto para 2022-2025 y las propuestas presupuestarias para el primer </w:t>
      </w:r>
      <w:r w:rsidRPr="00034835">
        <w:rPr>
          <w:rFonts w:asciiTheme="minorBidi" w:hAnsiTheme="minorBidi" w:cstheme="minorBidi"/>
          <w:snapToGrid/>
          <w:lang w:val="es"/>
        </w:rPr>
        <w:t>bienio</w:t>
      </w:r>
      <w:r w:rsidRPr="00034835">
        <w:rPr>
          <w:rFonts w:asciiTheme="minorBidi" w:hAnsiTheme="minorBidi" w:cstheme="minorBidi"/>
          <w:szCs w:val="22"/>
          <w:lang w:val="es"/>
        </w:rPr>
        <w:t xml:space="preserve"> 2022-2023 presentadas en el documento </w:t>
      </w:r>
      <w:hyperlink r:id="rId18" w:history="1">
        <w:r w:rsidRPr="00034835">
          <w:rPr>
            <w:rStyle w:val="Hyperlink"/>
            <w:rFonts w:asciiTheme="minorBidi" w:eastAsia="Calibri" w:hAnsiTheme="minorBidi" w:cstheme="minorBidi"/>
            <w:szCs w:val="22"/>
            <w:lang w:val="es"/>
          </w:rPr>
          <w:t>IOC/A-31/4.2.Doc</w:t>
        </w:r>
      </w:hyperlink>
      <w:r w:rsidRPr="00034835">
        <w:rPr>
          <w:rFonts w:asciiTheme="minorBidi" w:hAnsiTheme="minorBidi" w:cstheme="minorBidi"/>
          <w:szCs w:val="22"/>
          <w:u w:val="single"/>
          <w:lang w:val="es"/>
        </w:rPr>
        <w:t>,</w:t>
      </w:r>
      <w:r w:rsidRPr="00034835">
        <w:rPr>
          <w:rFonts w:asciiTheme="minorBidi" w:hAnsiTheme="minorBidi" w:cstheme="minorBidi"/>
          <w:szCs w:val="22"/>
          <w:lang w:val="es"/>
        </w:rPr>
        <w:t xml:space="preserve"> el Grupo consideró que eran coherentes en general con los principios rectores establecidos en la Resolución EC-53/2 y los objetivos de alto nivel definidos en el Proyecto de Estrategia a Plazo Medio de la COI para 2022-2029. Además d</w:t>
      </w:r>
      <w:r w:rsidRPr="00034835">
        <w:rPr>
          <w:rFonts w:asciiTheme="minorBidi" w:hAnsiTheme="minorBidi" w:cstheme="minorBidi"/>
          <w:szCs w:val="22"/>
          <w:lang w:val="es"/>
        </w:rPr>
        <w:t xml:space="preserve">e compartir la preocupación por la disminución del presupuesto del programa ordinario asignado a las operaciones, </w:t>
      </w:r>
      <w:r w:rsidRPr="00034835">
        <w:rPr>
          <w:rFonts w:asciiTheme="minorBidi" w:hAnsiTheme="minorBidi" w:cstheme="minorBidi"/>
          <w:szCs w:val="22"/>
          <w:lang w:val="es"/>
        </w:rPr>
        <w:t>el Grupo expresó su preocupación por la ambición de los recursos para la ejecución, en concreto respecto a la necesidad de establecer una Unid</w:t>
      </w:r>
      <w:r w:rsidRPr="00034835">
        <w:rPr>
          <w:rFonts w:asciiTheme="minorBidi" w:hAnsiTheme="minorBidi" w:cstheme="minorBidi"/>
          <w:szCs w:val="22"/>
          <w:lang w:val="es"/>
        </w:rPr>
        <w:t>ad de Coordinación del Decenio eficaz, eficiente y con financiación sostenible.</w:t>
      </w:r>
    </w:p>
    <w:p w14:paraId="08193170" w14:textId="77777777" w:rsidR="00034835" w:rsidRDefault="00034835">
      <w:pPr>
        <w:tabs>
          <w:tab w:val="clear" w:pos="567"/>
        </w:tabs>
        <w:snapToGrid/>
        <w:rPr>
          <w:rFonts w:asciiTheme="minorBidi" w:hAnsiTheme="minorBidi" w:cstheme="minorBidi"/>
          <w:szCs w:val="22"/>
          <w:lang w:val="es"/>
        </w:rPr>
      </w:pPr>
      <w:r>
        <w:rPr>
          <w:rFonts w:asciiTheme="minorBidi" w:hAnsiTheme="minorBidi" w:cstheme="minorBidi"/>
          <w:szCs w:val="22"/>
          <w:lang w:val="es"/>
        </w:rPr>
        <w:br w:type="page"/>
      </w:r>
    </w:p>
    <w:p w14:paraId="4F578F86" w14:textId="77777777" w:rsidR="001A2189" w:rsidRPr="00034835" w:rsidRDefault="00CB3148" w:rsidP="00034835">
      <w:pPr>
        <w:pStyle w:val="ListParagraph"/>
        <w:numPr>
          <w:ilvl w:val="0"/>
          <w:numId w:val="30"/>
        </w:numPr>
        <w:tabs>
          <w:tab w:val="clear" w:pos="709"/>
          <w:tab w:val="left" w:pos="360"/>
        </w:tabs>
        <w:snapToGrid w:val="0"/>
        <w:spacing w:after="240"/>
        <w:contextualSpacing w:val="0"/>
        <w:jc w:val="center"/>
        <w:rPr>
          <w:rFonts w:asciiTheme="minorBidi" w:eastAsia="Calibri" w:hAnsiTheme="minorBidi" w:cstheme="minorBidi"/>
          <w:b/>
          <w:iCs/>
          <w:szCs w:val="22"/>
        </w:rPr>
      </w:pPr>
      <w:r w:rsidRPr="00034835">
        <w:rPr>
          <w:rFonts w:asciiTheme="minorBidi" w:eastAsia="Calibri" w:hAnsiTheme="minorBidi" w:cstheme="minorBidi"/>
          <w:b/>
          <w:bCs/>
          <w:sz w:val="22"/>
          <w:szCs w:val="22"/>
          <w:lang w:val="es"/>
        </w:rPr>
        <w:lastRenderedPageBreak/>
        <w:t>Gobernanza y métodos de trabajo</w:t>
      </w:r>
    </w:p>
    <w:p w14:paraId="6D29E064" w14:textId="77777777" w:rsidR="00327B2F" w:rsidRPr="00034835" w:rsidRDefault="00CB3148" w:rsidP="00034835">
      <w:pPr>
        <w:numPr>
          <w:ilvl w:val="0"/>
          <w:numId w:val="33"/>
        </w:numPr>
        <w:tabs>
          <w:tab w:val="clear" w:pos="567"/>
          <w:tab w:val="left" w:pos="709"/>
        </w:tabs>
        <w:spacing w:after="240"/>
        <w:ind w:left="0" w:firstLine="0"/>
        <w:jc w:val="both"/>
        <w:rPr>
          <w:rFonts w:cstheme="minorHAnsi"/>
        </w:rPr>
      </w:pPr>
      <w:r w:rsidRPr="00034835">
        <w:rPr>
          <w:lang w:val="es"/>
        </w:rPr>
        <w:t xml:space="preserve">En el período entre reuniones que condujo a la reunión virtual del 10 de junio de 2021, el </w:t>
      </w:r>
      <w:r w:rsidRPr="00034835">
        <w:rPr>
          <w:rFonts w:asciiTheme="minorBidi" w:hAnsiTheme="minorBidi"/>
          <w:snapToGrid/>
          <w:lang w:val="es"/>
        </w:rPr>
        <w:t>Grupo</w:t>
      </w:r>
      <w:r w:rsidRPr="00034835">
        <w:rPr>
          <w:lang w:val="es"/>
        </w:rPr>
        <w:t xml:space="preserve"> se centró principalmente en la cuestión de la actualización del Reglamento interno con el fin de «</w:t>
      </w:r>
      <w:r w:rsidRPr="00034835">
        <w:rPr>
          <w:szCs w:val="22"/>
          <w:lang w:val="es"/>
        </w:rPr>
        <w:t>armonizarlo y adaptarlo a las mejores prácticas vigentes en las Naciones Unidas en lo que respecta a las reuniones virtuales que facilitan la adopción de dec</w:t>
      </w:r>
      <w:r w:rsidRPr="00034835">
        <w:rPr>
          <w:szCs w:val="22"/>
          <w:lang w:val="es"/>
        </w:rPr>
        <w:t>isiones informadas y oportunas por parte de los Estados Miembros de la COI»</w:t>
      </w:r>
      <w:r w:rsidRPr="00034835">
        <w:rPr>
          <w:lang w:val="es"/>
        </w:rPr>
        <w:t>. En este contexto, la Secretaría proporcionó la siguiente información, en consulta con el Asesor Jurídico de la UNESCO.</w:t>
      </w:r>
    </w:p>
    <w:p w14:paraId="7A925EED" w14:textId="77777777" w:rsidR="00A3408F" w:rsidRPr="00034835" w:rsidRDefault="00CB3148" w:rsidP="00034835">
      <w:pPr>
        <w:numPr>
          <w:ilvl w:val="0"/>
          <w:numId w:val="33"/>
        </w:numPr>
        <w:tabs>
          <w:tab w:val="clear" w:pos="567"/>
          <w:tab w:val="left" w:pos="709"/>
        </w:tabs>
        <w:spacing w:after="240"/>
        <w:ind w:left="0" w:firstLine="0"/>
        <w:jc w:val="both"/>
        <w:rPr>
          <w:rFonts w:cstheme="minorHAnsi"/>
        </w:rPr>
      </w:pPr>
      <w:r w:rsidRPr="00034835">
        <w:rPr>
          <w:rFonts w:cstheme="minorHAnsi"/>
          <w:lang w:val="es"/>
        </w:rPr>
        <w:t xml:space="preserve">El </w:t>
      </w:r>
      <w:hyperlink r:id="rId19" w:history="1">
        <w:r w:rsidRPr="00034835">
          <w:rPr>
            <w:rStyle w:val="Hyperlink"/>
            <w:rFonts w:cstheme="minorHAnsi"/>
            <w:lang w:val="es"/>
          </w:rPr>
          <w:t>Reglamento de la COI</w:t>
        </w:r>
      </w:hyperlink>
      <w:r w:rsidRPr="00034835">
        <w:rPr>
          <w:rFonts w:cstheme="minorHAnsi"/>
          <w:lang w:val="es"/>
        </w:rPr>
        <w:t xml:space="preserve"> no contiene ninguna cláusula relativa a las reuniones por videoconferencia, pero tampoco exige explícitamente la presencia física de los miembros y, por tanto, no prohíbe como tal la celebración de una reunión por m</w:t>
      </w:r>
      <w:r w:rsidRPr="00034835">
        <w:rPr>
          <w:rFonts w:cstheme="minorHAnsi"/>
          <w:lang w:val="es"/>
        </w:rPr>
        <w:t xml:space="preserve">edios virtuales. </w:t>
      </w:r>
    </w:p>
    <w:p w14:paraId="5C509B03" w14:textId="77777777" w:rsidR="00A3408F" w:rsidRPr="00034835" w:rsidRDefault="00CB3148" w:rsidP="00034835">
      <w:pPr>
        <w:numPr>
          <w:ilvl w:val="0"/>
          <w:numId w:val="33"/>
        </w:numPr>
        <w:tabs>
          <w:tab w:val="clear" w:pos="567"/>
          <w:tab w:val="left" w:pos="709"/>
        </w:tabs>
        <w:spacing w:after="240"/>
        <w:ind w:left="0" w:firstLine="0"/>
        <w:jc w:val="both"/>
        <w:rPr>
          <w:rFonts w:cstheme="minorHAnsi"/>
        </w:rPr>
      </w:pPr>
      <w:r w:rsidRPr="00034835">
        <w:rPr>
          <w:rFonts w:asciiTheme="minorBidi" w:hAnsiTheme="minorBidi"/>
          <w:snapToGrid/>
          <w:lang w:val="es"/>
        </w:rPr>
        <w:t>Sin embargo</w:t>
      </w:r>
      <w:r w:rsidRPr="00034835">
        <w:rPr>
          <w:lang w:val="es"/>
        </w:rPr>
        <w:t xml:space="preserve">, algunos artículos están redactados de manera que sugieren la celebración de una reunión con la presencia física de los miembros; por ejemplo, la votación secreta para la elección de los miembros del Consejo Ejecutivo y de la </w:t>
      </w:r>
      <w:r w:rsidRPr="00034835">
        <w:rPr>
          <w:lang w:val="es"/>
        </w:rPr>
        <w:t xml:space="preserve">Mesa del COI, para la cual no se dispone de la tecnología necesaria actualmente. </w:t>
      </w:r>
    </w:p>
    <w:p w14:paraId="1B57B81B" w14:textId="77777777" w:rsidR="00A3408F" w:rsidRPr="00034835" w:rsidRDefault="00CB3148" w:rsidP="00034835">
      <w:pPr>
        <w:numPr>
          <w:ilvl w:val="0"/>
          <w:numId w:val="33"/>
        </w:numPr>
        <w:tabs>
          <w:tab w:val="clear" w:pos="567"/>
          <w:tab w:val="left" w:pos="709"/>
        </w:tabs>
        <w:spacing w:after="240"/>
        <w:ind w:left="0" w:firstLine="0"/>
        <w:jc w:val="both"/>
        <w:rPr>
          <w:rFonts w:cstheme="minorHAnsi"/>
        </w:rPr>
      </w:pPr>
      <w:r w:rsidRPr="00034835">
        <w:rPr>
          <w:lang w:val="es"/>
        </w:rPr>
        <w:t xml:space="preserve"> </w:t>
      </w:r>
      <w:r w:rsidRPr="00034835">
        <w:rPr>
          <w:rFonts w:asciiTheme="minorBidi" w:hAnsiTheme="minorBidi"/>
          <w:snapToGrid/>
          <w:lang w:val="es"/>
        </w:rPr>
        <w:t>Cabe</w:t>
      </w:r>
      <w:r w:rsidRPr="00034835">
        <w:rPr>
          <w:lang w:val="es"/>
        </w:rPr>
        <w:t xml:space="preserve"> señalar que los órganos rectores de la UNESCO no modificaron su Reglamento para dar cabida a la cuestión específica de las reuniones en línea, aunque el Consejo Ejecuti</w:t>
      </w:r>
      <w:r w:rsidRPr="00034835">
        <w:rPr>
          <w:lang w:val="es"/>
        </w:rPr>
        <w:t>vo ya se ha reunido varias de forma virtual. Sin embargo, el Consejo Ejecutivo, en su 209.ª reunión, adoptó recomendaciones sobre los métodos de trabajo para la celebración de reuniones virtuales (</w:t>
      </w:r>
      <w:hyperlink r:id="rId20" w:anchor="page=43" w:history="1">
        <w:r w:rsidRPr="00034835">
          <w:rPr>
            <w:rStyle w:val="Hyperlink"/>
            <w:rFonts w:cstheme="minorHAnsi"/>
            <w:lang w:val="es"/>
          </w:rPr>
          <w:t>209 EX/ Decisión 30</w:t>
        </w:r>
      </w:hyperlink>
      <w:r w:rsidRPr="00034835">
        <w:rPr>
          <w:lang w:val="es"/>
        </w:rPr>
        <w:t>). Por lo tanto, la COI podría considerar un enfoque similar.</w:t>
      </w:r>
    </w:p>
    <w:p w14:paraId="0F3E9A82" w14:textId="77777777" w:rsidR="00A3408F" w:rsidRPr="00034835" w:rsidRDefault="00CB3148" w:rsidP="00034835">
      <w:pPr>
        <w:numPr>
          <w:ilvl w:val="0"/>
          <w:numId w:val="33"/>
        </w:numPr>
        <w:tabs>
          <w:tab w:val="clear" w:pos="567"/>
          <w:tab w:val="left" w:pos="709"/>
        </w:tabs>
        <w:spacing w:after="240"/>
        <w:ind w:left="0" w:firstLine="0"/>
        <w:jc w:val="both"/>
        <w:rPr>
          <w:rFonts w:cstheme="minorHAnsi"/>
        </w:rPr>
      </w:pPr>
      <w:r w:rsidRPr="00034835">
        <w:rPr>
          <w:rFonts w:cstheme="minorHAnsi"/>
          <w:lang w:val="es"/>
        </w:rPr>
        <w:t>Además, la versión inicial del proyecto de resolución EC-53/2 propuesto en el Documento de Decisión EC-53 (</w:t>
      </w:r>
      <w:hyperlink r:id="rId21" w:history="1">
        <w:r w:rsidRPr="00034835">
          <w:rPr>
            <w:rStyle w:val="Hyperlink"/>
            <w:rFonts w:cstheme="minorHAnsi"/>
            <w:lang w:val="es"/>
          </w:rPr>
          <w:t>Ad. y Corr.</w:t>
        </w:r>
      </w:hyperlink>
      <w:r w:rsidRPr="00034835">
        <w:rPr>
          <w:rFonts w:cstheme="minorHAnsi"/>
          <w:lang w:val="es"/>
        </w:rPr>
        <w:t>) manifestaba lo siguiente: «...</w:t>
      </w:r>
      <w:r w:rsidRPr="00034835">
        <w:rPr>
          <w:rFonts w:cstheme="minorHAnsi"/>
          <w:i/>
          <w:iCs/>
          <w:lang w:val="es"/>
        </w:rPr>
        <w:t xml:space="preserve"> la pandemia de la COVID-19 puso de relieve la necesidad de revisar y posiblemente actualizar el Reglamento de la COI con el fin de armonizarlo y adaptarlo a las mejores prácticas vigentes en las</w:t>
      </w:r>
      <w:r w:rsidRPr="00034835">
        <w:rPr>
          <w:rFonts w:cstheme="minorHAnsi"/>
          <w:i/>
          <w:iCs/>
          <w:lang w:val="es"/>
        </w:rPr>
        <w:t xml:space="preserve"> Naciones Unidas en lo que respecta a las reuniones virtuales que facilitan la adopción de decisiones informadas y oportunas por parte de los Estados Miembros de la COI</w:t>
      </w:r>
      <w:r w:rsidRPr="00034835">
        <w:rPr>
          <w:rFonts w:cstheme="minorHAnsi"/>
          <w:lang w:val="es"/>
        </w:rPr>
        <w:t>»</w:t>
      </w:r>
      <w:r w:rsidRPr="00034835">
        <w:rPr>
          <w:rFonts w:cstheme="minorHAnsi"/>
          <w:i/>
          <w:iCs/>
          <w:lang w:val="es"/>
        </w:rPr>
        <w:t xml:space="preserve"> </w:t>
      </w:r>
      <w:r w:rsidRPr="00034835">
        <w:rPr>
          <w:rFonts w:cstheme="minorHAnsi"/>
          <w:lang w:val="es"/>
        </w:rPr>
        <w:t>y la intención era proponer una revisión más profunda de los artículos.</w:t>
      </w:r>
      <w:r w:rsidRPr="00034835">
        <w:rPr>
          <w:rFonts w:cstheme="minorHAnsi"/>
          <w:i/>
          <w:iCs/>
          <w:lang w:val="es"/>
        </w:rPr>
        <w:t xml:space="preserve"> </w:t>
      </w:r>
      <w:r w:rsidRPr="00034835">
        <w:rPr>
          <w:rFonts w:cstheme="minorHAnsi"/>
          <w:lang w:val="es"/>
        </w:rPr>
        <w:t>Varias cuestio</w:t>
      </w:r>
      <w:r w:rsidRPr="00034835">
        <w:rPr>
          <w:rFonts w:cstheme="minorHAnsi"/>
          <w:lang w:val="es"/>
        </w:rPr>
        <w:t xml:space="preserve">nes relativas al actual </w:t>
      </w:r>
      <w:hyperlink r:id="rId22" w:history="1">
        <w:r w:rsidRPr="00034835">
          <w:rPr>
            <w:rStyle w:val="Hyperlink"/>
            <w:rFonts w:cstheme="minorHAnsi"/>
            <w:lang w:val="es"/>
          </w:rPr>
          <w:t>Reglamento</w:t>
        </w:r>
      </w:hyperlink>
      <w:r w:rsidRPr="00034835">
        <w:rPr>
          <w:rFonts w:cstheme="minorHAnsi"/>
          <w:lang w:val="es"/>
        </w:rPr>
        <w:t xml:space="preserve"> podrían beneficiarse de una revisión/aclaración, como se explica a continuación y teniendo en cuenta que los ejemplos proporcionados no son exhaustivos.</w:t>
      </w:r>
    </w:p>
    <w:p w14:paraId="6FBA37A1" w14:textId="77777777" w:rsidR="00A3408F" w:rsidRPr="00034835" w:rsidRDefault="00CB3148" w:rsidP="00034835">
      <w:pPr>
        <w:numPr>
          <w:ilvl w:val="0"/>
          <w:numId w:val="33"/>
        </w:numPr>
        <w:tabs>
          <w:tab w:val="clear" w:pos="567"/>
          <w:tab w:val="left" w:pos="709"/>
        </w:tabs>
        <w:spacing w:after="240"/>
        <w:ind w:left="0" w:firstLine="0"/>
        <w:jc w:val="both"/>
        <w:rPr>
          <w:rFonts w:cstheme="minorHAnsi"/>
        </w:rPr>
      </w:pPr>
      <w:r w:rsidRPr="00034835">
        <w:rPr>
          <w:rFonts w:cstheme="minorHAnsi"/>
          <w:lang w:val="es"/>
        </w:rPr>
        <w:t>En primer luga</w:t>
      </w:r>
      <w:r w:rsidRPr="00034835">
        <w:rPr>
          <w:rFonts w:cstheme="minorHAnsi"/>
          <w:lang w:val="es"/>
        </w:rPr>
        <w:t>r, a diferencia de otros reglamentos, la COI tiene un único reglamento que se aplica tanto a la Asamblea como al Consejo Ejecutivo. En consecuencia, la Asamblea y el Consejo Ejecutivo no tienen procedimientos independientes que se apliquen a cada uno de el</w:t>
      </w:r>
      <w:r w:rsidRPr="00034835">
        <w:rPr>
          <w:rFonts w:cstheme="minorHAnsi"/>
          <w:lang w:val="es"/>
        </w:rPr>
        <w:t xml:space="preserve">los de forma diferenciada y que cada uno de estos órganos pueda modificar o suspender. En particular, la versión inglesa de </w:t>
      </w:r>
      <w:hyperlink r:id="rId23" w:history="1">
        <w:r w:rsidRPr="00034835">
          <w:rPr>
            <w:rStyle w:val="Hyperlink"/>
            <w:rFonts w:cstheme="minorHAnsi"/>
            <w:lang w:val="es"/>
          </w:rPr>
          <w:t>artículo 56</w:t>
        </w:r>
      </w:hyperlink>
      <w:r w:rsidRPr="00034835">
        <w:rPr>
          <w:rFonts w:cstheme="minorHAnsi"/>
          <w:lang w:val="es"/>
        </w:rPr>
        <w:t xml:space="preserve"> prevé que el Reglamento «</w:t>
      </w:r>
      <w:r w:rsidRPr="00034835">
        <w:rPr>
          <w:rFonts w:cstheme="minorHAnsi"/>
          <w:i/>
          <w:iCs/>
          <w:lang w:val="es"/>
        </w:rPr>
        <w:t>solo podrá ser suspe</w:t>
      </w:r>
      <w:r w:rsidRPr="00034835">
        <w:rPr>
          <w:rFonts w:cstheme="minorHAnsi"/>
          <w:i/>
          <w:iCs/>
          <w:lang w:val="es"/>
        </w:rPr>
        <w:t>ndido por una decisión aprobada por la mayoría de todos los Estados Miembros de la Comisión presentes y votantes</w:t>
      </w:r>
      <w:r w:rsidRPr="00034835">
        <w:rPr>
          <w:rFonts w:cstheme="minorHAnsi"/>
          <w:lang w:val="es"/>
        </w:rPr>
        <w:t>»</w:t>
      </w:r>
      <w:r w:rsidRPr="00034835">
        <w:rPr>
          <w:rFonts w:cstheme="minorHAnsi"/>
          <w:i/>
          <w:iCs/>
          <w:lang w:val="es"/>
        </w:rPr>
        <w:t>.</w:t>
      </w:r>
      <w:r w:rsidRPr="00034835">
        <w:rPr>
          <w:rFonts w:cstheme="minorHAnsi"/>
          <w:lang w:val="es"/>
        </w:rPr>
        <w:t xml:space="preserve"> El único órgano que está compuesto por todos los Estados Miembros de la Comisión es la Asamblea y, en consecuencia, aunque no lo manifieste e</w:t>
      </w:r>
      <w:r w:rsidRPr="00034835">
        <w:rPr>
          <w:rFonts w:cstheme="minorHAnsi"/>
          <w:lang w:val="es"/>
        </w:rPr>
        <w:t>xplícitamente el Reglamento, parece que solo la Asamblea puede suspender el Reglamento.</w:t>
      </w:r>
    </w:p>
    <w:p w14:paraId="55F5037D" w14:textId="77777777" w:rsidR="00A3408F" w:rsidRPr="00034835" w:rsidRDefault="00CB3148" w:rsidP="00034835">
      <w:pPr>
        <w:numPr>
          <w:ilvl w:val="0"/>
          <w:numId w:val="33"/>
        </w:numPr>
        <w:tabs>
          <w:tab w:val="clear" w:pos="567"/>
          <w:tab w:val="left" w:pos="709"/>
        </w:tabs>
        <w:spacing w:after="240"/>
        <w:ind w:left="0" w:firstLine="0"/>
        <w:jc w:val="both"/>
        <w:rPr>
          <w:rFonts w:cstheme="minorHAnsi"/>
        </w:rPr>
      </w:pPr>
      <w:r w:rsidRPr="00034835">
        <w:rPr>
          <w:lang w:val="es"/>
        </w:rPr>
        <w:t xml:space="preserve">En </w:t>
      </w:r>
      <w:r w:rsidRPr="00034835">
        <w:rPr>
          <w:rFonts w:asciiTheme="minorBidi" w:hAnsiTheme="minorBidi"/>
          <w:snapToGrid/>
          <w:lang w:val="es"/>
        </w:rPr>
        <w:t>segundo lugar</w:t>
      </w:r>
      <w:r w:rsidRPr="00034835">
        <w:rPr>
          <w:lang w:val="es"/>
        </w:rPr>
        <w:t>, existen varias discrepancias entre las versiones lingüísticas del Reglamento. Por ejemplo, mientras que la versión inglesa del artículo 56 prevé que «</w:t>
      </w:r>
      <w:r w:rsidRPr="00034835">
        <w:rPr>
          <w:i/>
          <w:iCs/>
          <w:lang w:val="es"/>
        </w:rPr>
        <w:t>La aplicación de cualquiera de los artículos del presente Reglamento solo podrá ser suspendida por una decisión aprobada por la mayoría de todos los Estados Miembros de la Comisión presentes y votantes</w:t>
      </w:r>
      <w:r w:rsidRPr="00034835">
        <w:rPr>
          <w:lang w:val="es"/>
        </w:rPr>
        <w:t xml:space="preserve">», la </w:t>
      </w:r>
      <w:hyperlink r:id="rId24" w:history="1">
        <w:r w:rsidRPr="00034835">
          <w:rPr>
            <w:rStyle w:val="Hyperlink"/>
            <w:rFonts w:cstheme="minorHAnsi"/>
            <w:lang w:val="es"/>
          </w:rPr>
          <w:t>versión francesa</w:t>
        </w:r>
      </w:hyperlink>
      <w:r w:rsidRPr="00034835">
        <w:rPr>
          <w:lang w:val="es"/>
        </w:rPr>
        <w:t xml:space="preserve"> se refiere explícitamente a una decisión de la Asamblea («</w:t>
      </w:r>
      <w:r w:rsidRPr="00034835">
        <w:rPr>
          <w:i/>
          <w:iCs/>
          <w:lang w:val="es"/>
        </w:rPr>
        <w:t>L'application de l'un quelconque des articles du présent Règlement ne peut être suspendue que par décision de l'Assemblée, adoptée à la majorité de tous le</w:t>
      </w:r>
      <w:r w:rsidRPr="00034835">
        <w:rPr>
          <w:i/>
          <w:iCs/>
          <w:lang w:val="es"/>
        </w:rPr>
        <w:t>s États membres de la Commission présents et votants</w:t>
      </w:r>
      <w:r w:rsidRPr="00034835">
        <w:rPr>
          <w:lang w:val="es"/>
        </w:rPr>
        <w:t xml:space="preserve">»). Las versiones española y rusa siguen la versión inglesa en este punto. Otro ejemplo se refiere al </w:t>
      </w:r>
      <w:hyperlink r:id="rId25" w:history="1">
        <w:r w:rsidRPr="00034835">
          <w:rPr>
            <w:rStyle w:val="Hyperlink"/>
            <w:rFonts w:cstheme="minorHAnsi"/>
            <w:lang w:val="es"/>
          </w:rPr>
          <w:t>artículo 19.3</w:t>
        </w:r>
      </w:hyperlink>
      <w:r w:rsidRPr="00034835">
        <w:rPr>
          <w:lang w:val="es"/>
        </w:rPr>
        <w:t xml:space="preserve"> sobre la conv</w:t>
      </w:r>
      <w:r w:rsidRPr="00034835">
        <w:rPr>
          <w:lang w:val="es"/>
        </w:rPr>
        <w:t>ocatoria de reuniones extraordinarias del Consejo Ejecutivo. Mientras que la versión inglesa especifica que «</w:t>
      </w:r>
      <w:r w:rsidRPr="00034835">
        <w:rPr>
          <w:i/>
          <w:iCs/>
          <w:lang w:val="es"/>
        </w:rPr>
        <w:t>Las reuniones extraordinarias podrán ser convocadas por decisión del Consejo Ejecutivo o de un tercio de sus miembros, o a petición de la Mesa de l</w:t>
      </w:r>
      <w:r w:rsidRPr="00034835">
        <w:rPr>
          <w:i/>
          <w:iCs/>
          <w:lang w:val="es"/>
        </w:rPr>
        <w:t xml:space="preserve">a Comisión siempre que hayan presentado la correspondiente solicitud al Secretario </w:t>
      </w:r>
      <w:r w:rsidRPr="00034835">
        <w:rPr>
          <w:i/>
          <w:iCs/>
          <w:lang w:val="es"/>
        </w:rPr>
        <w:lastRenderedPageBreak/>
        <w:t>Ejecutivo por lo menos cuatro meses antes de la fecha propuesta»</w:t>
      </w:r>
      <w:r w:rsidRPr="00034835">
        <w:rPr>
          <w:lang w:val="es"/>
        </w:rPr>
        <w:t xml:space="preserve">, la </w:t>
      </w:r>
      <w:hyperlink r:id="rId26" w:history="1">
        <w:r w:rsidRPr="00034835">
          <w:rPr>
            <w:rStyle w:val="Hyperlink"/>
            <w:rFonts w:cstheme="minorHAnsi"/>
            <w:lang w:val="es"/>
          </w:rPr>
          <w:t>versión francesa</w:t>
        </w:r>
      </w:hyperlink>
      <w:r w:rsidRPr="00034835">
        <w:rPr>
          <w:lang w:val="es"/>
        </w:rPr>
        <w:t xml:space="preserve"> no se refier</w:t>
      </w:r>
      <w:r w:rsidRPr="00034835">
        <w:rPr>
          <w:lang w:val="es"/>
        </w:rPr>
        <w:t>e a la posibilidad de convocar una reunión a petición de un tercio de los miembros del Consejo.</w:t>
      </w:r>
    </w:p>
    <w:p w14:paraId="3393B0BF" w14:textId="77777777" w:rsidR="00A3408F" w:rsidRPr="00034835" w:rsidRDefault="00CB3148" w:rsidP="00034835">
      <w:pPr>
        <w:numPr>
          <w:ilvl w:val="0"/>
          <w:numId w:val="33"/>
        </w:numPr>
        <w:tabs>
          <w:tab w:val="clear" w:pos="567"/>
          <w:tab w:val="left" w:pos="709"/>
        </w:tabs>
        <w:spacing w:after="240"/>
        <w:ind w:left="0" w:firstLine="0"/>
        <w:jc w:val="both"/>
      </w:pPr>
      <w:r w:rsidRPr="00034835">
        <w:rPr>
          <w:lang w:val="es"/>
        </w:rPr>
        <w:t xml:space="preserve">En tercer lugar, </w:t>
      </w:r>
      <w:r w:rsidRPr="00034835">
        <w:rPr>
          <w:rFonts w:asciiTheme="minorBidi" w:hAnsiTheme="minorBidi"/>
          <w:snapToGrid/>
          <w:lang w:val="es"/>
        </w:rPr>
        <w:t>hay</w:t>
      </w:r>
      <w:r w:rsidRPr="00034835">
        <w:rPr>
          <w:lang w:val="es"/>
        </w:rPr>
        <w:t xml:space="preserve"> ciertos artículos que podrían aclararse o detallarse más. Por ejemplo, aunque el </w:t>
      </w:r>
      <w:hyperlink r:id="rId27" w:history="1">
        <w:r w:rsidRPr="00034835">
          <w:rPr>
            <w:rStyle w:val="Hyperlink"/>
            <w:rFonts w:cstheme="minorHAnsi"/>
            <w:lang w:val="es"/>
          </w:rPr>
          <w:t>artículo 19.2</w:t>
        </w:r>
      </w:hyperlink>
      <w:r w:rsidRPr="00034835">
        <w:rPr>
          <w:lang w:val="es"/>
        </w:rPr>
        <w:t xml:space="preserve"> establece que la hora y el lugar de las reuniones ordinarias del Consejo Ejecutivo son determinados por el Consejo Ejecutivo, el Reglamento no prevé un procedimiento específico y simplificado para modificar la fecha de la reu</w:t>
      </w:r>
      <w:r w:rsidRPr="00034835">
        <w:rPr>
          <w:lang w:val="es"/>
        </w:rPr>
        <w:t xml:space="preserve">nión, a diferencia del Reglamento del Consejo Ejecutivo de la UNESCO que permite al Presidente modificar la fecha en caso necesario. Otro ejemplo se refiere al </w:t>
      </w:r>
      <w:hyperlink r:id="rId28" w:history="1">
        <w:r w:rsidRPr="00034835">
          <w:rPr>
            <w:rStyle w:val="Hyperlink"/>
            <w:rFonts w:cstheme="minorHAnsi"/>
            <w:lang w:val="es"/>
          </w:rPr>
          <w:t>artículo 23</w:t>
        </w:r>
      </w:hyperlink>
      <w:r w:rsidRPr="00034835">
        <w:rPr>
          <w:lang w:val="es"/>
        </w:rPr>
        <w:t xml:space="preserve"> que prevé</w:t>
      </w:r>
      <w:r w:rsidRPr="00034835">
        <w:rPr>
          <w:lang w:val="es"/>
        </w:rPr>
        <w:t xml:space="preserve"> que «</w:t>
      </w:r>
      <w:r w:rsidRPr="00034835">
        <w:rPr>
          <w:i/>
          <w:iCs/>
          <w:lang w:val="es"/>
        </w:rPr>
        <w:t>de conformidad con las instrucciones</w:t>
      </w:r>
      <w:r w:rsidRPr="00034835">
        <w:rPr>
          <w:lang w:val="es"/>
        </w:rPr>
        <w:t xml:space="preserve"> </w:t>
      </w:r>
      <w:r w:rsidRPr="00034835">
        <w:rPr>
          <w:i/>
          <w:iCs/>
          <w:lang w:val="es"/>
        </w:rPr>
        <w:t xml:space="preserve">del Consejo Ejecutivo, el Presidente o el Secretario Ejecutivo podrán, antes de tomar una decisión sobre cuestiones esenciales, consultar por correspondencia a los Estados Miembros de la Comisión y fijar un plazo </w:t>
      </w:r>
      <w:r w:rsidRPr="00034835">
        <w:rPr>
          <w:i/>
          <w:iCs/>
          <w:lang w:val="es"/>
        </w:rPr>
        <w:t>razonable de respuesta</w:t>
      </w:r>
      <w:r w:rsidRPr="00034835">
        <w:rPr>
          <w:lang w:val="es"/>
        </w:rPr>
        <w:t>»</w:t>
      </w:r>
      <w:r w:rsidRPr="00034835">
        <w:rPr>
          <w:i/>
          <w:iCs/>
          <w:lang w:val="es"/>
        </w:rPr>
        <w:t>.</w:t>
      </w:r>
      <w:r w:rsidRPr="00034835">
        <w:rPr>
          <w:lang w:val="es"/>
        </w:rPr>
        <w:t xml:space="preserve"> Este procedimiento por correspondencia podría ampliarse o aclararse más. </w:t>
      </w:r>
    </w:p>
    <w:p w14:paraId="43F05D2A" w14:textId="77777777" w:rsidR="00A3408F" w:rsidRPr="00034835" w:rsidRDefault="00CB3148" w:rsidP="00034835">
      <w:pPr>
        <w:numPr>
          <w:ilvl w:val="0"/>
          <w:numId w:val="33"/>
        </w:numPr>
        <w:tabs>
          <w:tab w:val="clear" w:pos="567"/>
          <w:tab w:val="left" w:pos="709"/>
        </w:tabs>
        <w:spacing w:after="240"/>
        <w:ind w:left="0" w:firstLine="0"/>
        <w:jc w:val="both"/>
        <w:rPr>
          <w:rFonts w:cstheme="minorHAnsi"/>
        </w:rPr>
      </w:pPr>
      <w:r w:rsidRPr="00034835">
        <w:rPr>
          <w:lang w:val="es"/>
        </w:rPr>
        <w:t xml:space="preserve">En </w:t>
      </w:r>
      <w:r w:rsidRPr="00034835">
        <w:rPr>
          <w:rFonts w:asciiTheme="minorBidi" w:hAnsiTheme="minorBidi"/>
          <w:snapToGrid/>
          <w:lang w:val="es"/>
        </w:rPr>
        <w:t>vista</w:t>
      </w:r>
      <w:r w:rsidRPr="00034835">
        <w:rPr>
          <w:lang w:val="es"/>
        </w:rPr>
        <w:t xml:space="preserve"> de lo anterior, y con el fin de evitar una precipitación indebida y garantizar una revisión cuidadosa del Reglamento y una consulta amplia e inclusiva de todos los Estados Miembros sobre las propuestas de modificación, el IFAG recomendó que la Asamblea, d</w:t>
      </w:r>
      <w:r w:rsidRPr="00034835">
        <w:rPr>
          <w:lang w:val="es"/>
        </w:rPr>
        <w:t>urante su 31.ª reunión, en su resolución «Asuntos relativos a la gobernanza, la programación y la presupuestación de la Comisión» que:</w:t>
      </w:r>
    </w:p>
    <w:p w14:paraId="7732DC90" w14:textId="77777777" w:rsidR="00A3408F" w:rsidRPr="00034835" w:rsidRDefault="00CB3148" w:rsidP="00034835">
      <w:pPr>
        <w:spacing w:after="240"/>
        <w:ind w:left="851" w:right="849"/>
        <w:jc w:val="both"/>
        <w:rPr>
          <w:rFonts w:cstheme="minorHAnsi"/>
        </w:rPr>
      </w:pPr>
      <w:r w:rsidRPr="00034835">
        <w:rPr>
          <w:rFonts w:cstheme="minorHAnsi"/>
          <w:lang w:val="es"/>
        </w:rPr>
        <w:t xml:space="preserve">solicitara al Secretario Ejecutivo la preparación, en consulta con el </w:t>
      </w:r>
      <w:r w:rsidRPr="00034835">
        <w:rPr>
          <w:rFonts w:cstheme="minorHAnsi"/>
          <w:lang w:val="es"/>
        </w:rPr>
        <w:t>Asesor Jurídico de la UNESCO y el IFAG</w:t>
      </w:r>
      <w:r w:rsidRPr="00034835">
        <w:rPr>
          <w:rFonts w:cstheme="minorHAnsi"/>
          <w:lang w:val="es"/>
        </w:rPr>
        <w:t>, de una prop</w:t>
      </w:r>
      <w:r w:rsidRPr="00034835">
        <w:rPr>
          <w:rFonts w:cstheme="minorHAnsi"/>
          <w:lang w:val="es"/>
        </w:rPr>
        <w:t xml:space="preserve">uesta preliminar de revisión del Reglamento de la Asamblea y del Reglamento del Consejo Ejecutivo y que se armonizara con las mejores prácticas vigentes para su revisión y adopción por parte de estos dos órganos.  </w:t>
      </w:r>
    </w:p>
    <w:p w14:paraId="75446503" w14:textId="77777777" w:rsidR="00A3408F" w:rsidRPr="00034835" w:rsidRDefault="00CB3148" w:rsidP="00034835">
      <w:pPr>
        <w:numPr>
          <w:ilvl w:val="0"/>
          <w:numId w:val="33"/>
        </w:numPr>
        <w:tabs>
          <w:tab w:val="clear" w:pos="567"/>
          <w:tab w:val="left" w:pos="709"/>
        </w:tabs>
        <w:spacing w:after="240"/>
        <w:ind w:left="0" w:firstLine="0"/>
        <w:jc w:val="both"/>
        <w:rPr>
          <w:rFonts w:cs="Arial"/>
          <w:szCs w:val="22"/>
        </w:rPr>
      </w:pPr>
      <w:r w:rsidRPr="00034835">
        <w:rPr>
          <w:lang w:val="es"/>
        </w:rPr>
        <w:t xml:space="preserve">El calendario </w:t>
      </w:r>
      <w:r w:rsidRPr="00034835">
        <w:rPr>
          <w:rFonts w:asciiTheme="minorBidi" w:hAnsiTheme="minorBidi"/>
          <w:snapToGrid/>
          <w:lang w:val="es"/>
        </w:rPr>
        <w:t>propuesto</w:t>
      </w:r>
      <w:r w:rsidRPr="00034835">
        <w:rPr>
          <w:lang w:val="es"/>
        </w:rPr>
        <w:t xml:space="preserve"> sería el siguiente:</w:t>
      </w:r>
    </w:p>
    <w:p w14:paraId="5BE42916" w14:textId="77777777" w:rsidR="00A3408F" w:rsidRPr="00034835" w:rsidRDefault="00CB3148" w:rsidP="00034835">
      <w:pPr>
        <w:pStyle w:val="ListParagraph"/>
        <w:numPr>
          <w:ilvl w:val="0"/>
          <w:numId w:val="31"/>
        </w:numPr>
        <w:tabs>
          <w:tab w:val="clear" w:pos="709"/>
        </w:tabs>
        <w:snapToGrid w:val="0"/>
        <w:spacing w:after="240"/>
        <w:ind w:left="1316" w:hanging="566"/>
        <w:contextualSpacing w:val="0"/>
        <w:rPr>
          <w:rFonts w:ascii="Arial" w:hAnsi="Arial" w:cs="Arial"/>
          <w:sz w:val="22"/>
          <w:szCs w:val="22"/>
        </w:rPr>
      </w:pPr>
      <w:r w:rsidRPr="00034835">
        <w:rPr>
          <w:rFonts w:ascii="Arial" w:hAnsi="Arial" w:cs="Arial"/>
          <w:sz w:val="22"/>
          <w:szCs w:val="22"/>
          <w:lang w:val="es"/>
        </w:rPr>
        <w:t xml:space="preserve">El primer proyecto de Reglamento interno del Consejo Ejecutivo será revisado por el Consejo Ejecutivo en su 55.ª reunión, en 2022. </w:t>
      </w:r>
    </w:p>
    <w:p w14:paraId="5B091AB7" w14:textId="77777777" w:rsidR="00A3408F" w:rsidRPr="00034835" w:rsidRDefault="00CB3148" w:rsidP="00034835">
      <w:pPr>
        <w:pStyle w:val="ListParagraph"/>
        <w:numPr>
          <w:ilvl w:val="0"/>
          <w:numId w:val="31"/>
        </w:numPr>
        <w:tabs>
          <w:tab w:val="clear" w:pos="709"/>
        </w:tabs>
        <w:snapToGrid w:val="0"/>
        <w:spacing w:after="240"/>
        <w:ind w:left="1316" w:hanging="566"/>
        <w:contextualSpacing w:val="0"/>
        <w:rPr>
          <w:rFonts w:ascii="Arial" w:hAnsi="Arial" w:cs="Arial"/>
          <w:sz w:val="22"/>
          <w:szCs w:val="22"/>
        </w:rPr>
      </w:pPr>
      <w:r w:rsidRPr="00034835">
        <w:rPr>
          <w:rFonts w:ascii="Arial" w:hAnsi="Arial" w:cs="Arial"/>
          <w:sz w:val="22"/>
          <w:szCs w:val="22"/>
          <w:lang w:val="es"/>
        </w:rPr>
        <w:t>El proyecto de Reglamento de la Asamblea se presentará para su revisión y aprobación en su 32.ª reunión</w:t>
      </w:r>
      <w:r w:rsidRPr="00034835">
        <w:rPr>
          <w:rFonts w:ascii="Arial" w:hAnsi="Arial" w:cs="Arial"/>
          <w:sz w:val="22"/>
          <w:szCs w:val="22"/>
          <w:lang w:val="es"/>
        </w:rPr>
        <w:t>, en 2023.</w:t>
      </w:r>
    </w:p>
    <w:p w14:paraId="0752C3A3" w14:textId="77777777" w:rsidR="00A3408F" w:rsidRPr="00034835" w:rsidRDefault="00CB3148" w:rsidP="00034835">
      <w:pPr>
        <w:pStyle w:val="ListParagraph"/>
        <w:numPr>
          <w:ilvl w:val="0"/>
          <w:numId w:val="31"/>
        </w:numPr>
        <w:tabs>
          <w:tab w:val="clear" w:pos="709"/>
        </w:tabs>
        <w:snapToGrid w:val="0"/>
        <w:spacing w:after="240"/>
        <w:ind w:left="1316" w:hanging="566"/>
        <w:contextualSpacing w:val="0"/>
        <w:rPr>
          <w:rFonts w:ascii="Arial" w:hAnsi="Arial" w:cs="Arial"/>
          <w:sz w:val="22"/>
          <w:szCs w:val="22"/>
        </w:rPr>
      </w:pPr>
      <w:r w:rsidRPr="00034835">
        <w:rPr>
          <w:rFonts w:ascii="Arial" w:hAnsi="Arial" w:cs="Arial"/>
          <w:sz w:val="22"/>
          <w:szCs w:val="22"/>
          <w:lang w:val="es"/>
        </w:rPr>
        <w:t xml:space="preserve">El Consejo Ejecutivo celebrará una reunión extraordinaria tras la 32.ª reunión de la Asamblea para aprobar su Reglamento. </w:t>
      </w:r>
    </w:p>
    <w:p w14:paraId="0D27FFF0" w14:textId="77777777" w:rsidR="00CC7192" w:rsidRPr="00034835" w:rsidRDefault="00CB3148" w:rsidP="00034835">
      <w:pPr>
        <w:pStyle w:val="ListParagraph"/>
        <w:numPr>
          <w:ilvl w:val="0"/>
          <w:numId w:val="31"/>
        </w:numPr>
        <w:tabs>
          <w:tab w:val="clear" w:pos="709"/>
        </w:tabs>
        <w:snapToGrid w:val="0"/>
        <w:spacing w:after="240"/>
        <w:ind w:left="1316" w:hanging="566"/>
        <w:contextualSpacing w:val="0"/>
        <w:rPr>
          <w:rFonts w:cs="Arial"/>
          <w:szCs w:val="22"/>
        </w:rPr>
      </w:pPr>
      <w:r w:rsidRPr="00034835">
        <w:rPr>
          <w:rFonts w:ascii="Arial" w:hAnsi="Arial" w:cs="Arial"/>
          <w:sz w:val="22"/>
          <w:szCs w:val="22"/>
          <w:lang w:val="es"/>
        </w:rPr>
        <w:t xml:space="preserve">Ambos órganos rectores adoptarán también las recomendaciones sobre los métodos de trabajo para las reuniones virtuales al </w:t>
      </w:r>
      <w:r w:rsidRPr="00034835">
        <w:rPr>
          <w:rFonts w:ascii="Arial" w:hAnsi="Arial" w:cs="Arial"/>
          <w:sz w:val="22"/>
          <w:szCs w:val="22"/>
          <w:lang w:val="es"/>
        </w:rPr>
        <w:t>mismo tiempo que el Reglamento, siguiendo la práctica del Consejo Ejecutivo de la UNESCO.</w:t>
      </w:r>
    </w:p>
    <w:p w14:paraId="529244BF" w14:textId="77777777" w:rsidR="00CC7192" w:rsidRPr="00034835" w:rsidRDefault="00CB3148" w:rsidP="00034835">
      <w:pPr>
        <w:pStyle w:val="ListParagraph"/>
        <w:tabs>
          <w:tab w:val="clear" w:pos="709"/>
        </w:tabs>
        <w:snapToGrid w:val="0"/>
        <w:spacing w:after="240"/>
        <w:ind w:left="1316"/>
        <w:contextualSpacing w:val="0"/>
        <w:rPr>
          <w:rFonts w:cs="Arial"/>
          <w:szCs w:val="22"/>
        </w:rPr>
      </w:pPr>
      <w:r w:rsidRPr="00034835">
        <w:rPr>
          <w:rFonts w:ascii="Arial" w:hAnsi="Arial" w:cs="Arial"/>
          <w:sz w:val="22"/>
          <w:szCs w:val="22"/>
          <w:lang w:val="es"/>
        </w:rPr>
        <w:t>Pese a acoger con satisfacción la propuesta de establecer dos Reglamentos independientes, uno para la Asamblea y otro para el Consejo Ejecutivo, como se ha descrito a</w:t>
      </w:r>
      <w:r w:rsidRPr="00034835">
        <w:rPr>
          <w:rFonts w:ascii="Arial" w:hAnsi="Arial" w:cs="Arial"/>
          <w:sz w:val="22"/>
          <w:szCs w:val="22"/>
          <w:lang w:val="es"/>
        </w:rPr>
        <w:t>nteriormente, los Estados Miembros acordaron que la revisión debería centrarse en las cláusulas que podrían beneficiarse de una formulación más clara y en la armonización de las versiones lingüísticas, sin ningún cambio sustancial en el Reglamento actual.</w:t>
      </w:r>
    </w:p>
    <w:p w14:paraId="3740BBD6" w14:textId="77777777" w:rsidR="00034835" w:rsidRPr="00034835" w:rsidRDefault="00CB3148" w:rsidP="00034835">
      <w:pPr>
        <w:numPr>
          <w:ilvl w:val="0"/>
          <w:numId w:val="33"/>
        </w:numPr>
        <w:tabs>
          <w:tab w:val="clear" w:pos="567"/>
          <w:tab w:val="left" w:pos="709"/>
        </w:tabs>
        <w:spacing w:after="240"/>
        <w:ind w:left="0" w:firstLine="0"/>
        <w:jc w:val="both"/>
        <w:rPr>
          <w:rFonts w:cstheme="minorHAnsi"/>
        </w:rPr>
      </w:pPr>
      <w:r w:rsidRPr="00034835">
        <w:rPr>
          <w:rFonts w:cstheme="minorHAnsi"/>
          <w:lang w:val="es"/>
        </w:rPr>
        <w:t xml:space="preserve">Finalmente, </w:t>
      </w:r>
      <w:r w:rsidRPr="00034835">
        <w:rPr>
          <w:rFonts w:cstheme="minorHAnsi"/>
          <w:lang w:val="es"/>
        </w:rPr>
        <w:t>con</w:t>
      </w:r>
      <w:r w:rsidRPr="00034835">
        <w:rPr>
          <w:rFonts w:cstheme="minorHAnsi"/>
          <w:lang w:val="es"/>
        </w:rPr>
        <w:t xml:space="preserve"> respecto a la decisión de la Asamblea de empezar a estudiar la forma de mejorar la información sobre las contribuciones en especie de los Estados Miembros, </w:t>
      </w:r>
      <w:r w:rsidRPr="00034835">
        <w:rPr>
          <w:rFonts w:cstheme="minorHAnsi"/>
          <w:lang w:val="es"/>
        </w:rPr>
        <w:t>los debates se basaron en el proyecto de nota proporcionado por los Estados Unidos d</w:t>
      </w:r>
      <w:r w:rsidRPr="00034835">
        <w:rPr>
          <w:rFonts w:cstheme="minorHAnsi"/>
          <w:lang w:val="es"/>
        </w:rPr>
        <w:t>e América y que se adjunta como Anexo I a este documento. Los Estados Miembros estuvieron de acuerdo en que la propuesta era muy oportuna y que, de hecho, información actual sobre las contribuciones en especie que figura en la Tabla 5 del documento IOC/A-3</w:t>
      </w:r>
      <w:r w:rsidRPr="00034835">
        <w:rPr>
          <w:rFonts w:cstheme="minorHAnsi"/>
          <w:lang w:val="es"/>
        </w:rPr>
        <w:t xml:space="preserve">1/3.2.Doc(2) no ofrece una visión integral y no se basa en un enfoque acordado colectivamente por los Estados Miembros. Acogieron con satisfacción el intento del proyecto de nota de establecer tanto los criterios para proporcionar una </w:t>
      </w:r>
      <w:r w:rsidRPr="00034835">
        <w:rPr>
          <w:rFonts w:cstheme="minorHAnsi"/>
          <w:lang w:val="es"/>
        </w:rPr>
        <w:lastRenderedPageBreak/>
        <w:t>información más compl</w:t>
      </w:r>
      <w:r w:rsidRPr="00034835">
        <w:rPr>
          <w:rFonts w:cstheme="minorHAnsi"/>
          <w:lang w:val="es"/>
        </w:rPr>
        <w:t>eta como un enfoque más sistemático para recoger la información de los Estados Miembros a través de una carta circular. Los Estados Miembros acordaron que este era un punto de partida para los debates en el Comité de Finanzas de la reunión, teniendo en cue</w:t>
      </w:r>
      <w:r w:rsidRPr="00034835">
        <w:rPr>
          <w:rFonts w:cstheme="minorHAnsi"/>
          <w:lang w:val="es"/>
        </w:rPr>
        <w:t>nta también la necesidad de evitar cualquier aumento sustancial de la carga de trabajo de la Secretaría.</w:t>
      </w:r>
    </w:p>
    <w:p w14:paraId="506433D2" w14:textId="72E43135" w:rsidR="006805F7" w:rsidRPr="00034835" w:rsidRDefault="00CB3148" w:rsidP="00034835">
      <w:pPr>
        <w:numPr>
          <w:ilvl w:val="0"/>
          <w:numId w:val="33"/>
        </w:numPr>
        <w:tabs>
          <w:tab w:val="clear" w:pos="567"/>
          <w:tab w:val="left" w:pos="709"/>
        </w:tabs>
        <w:spacing w:after="240"/>
        <w:ind w:left="0" w:firstLine="0"/>
        <w:jc w:val="both"/>
        <w:rPr>
          <w:rFonts w:cstheme="minorHAnsi"/>
        </w:rPr>
      </w:pPr>
      <w:r w:rsidRPr="00034835">
        <w:rPr>
          <w:rFonts w:cstheme="minorHAnsi"/>
          <w:lang w:val="es"/>
        </w:rPr>
        <w:br w:type="page"/>
      </w:r>
    </w:p>
    <w:p w14:paraId="2F24D05D" w14:textId="77777777" w:rsidR="009F394A" w:rsidRPr="00034835" w:rsidRDefault="00CB3148">
      <w:pPr>
        <w:spacing w:after="240"/>
        <w:jc w:val="center"/>
        <w:rPr>
          <w:rFonts w:eastAsiaTheme="minorHAnsi"/>
          <w:snapToGrid/>
          <w:color w:val="000000"/>
          <w:sz w:val="24"/>
        </w:rPr>
      </w:pPr>
      <w:r w:rsidRPr="00034835">
        <w:rPr>
          <w:rFonts w:cs="Arial"/>
          <w:b/>
          <w:bCs/>
          <w:szCs w:val="22"/>
          <w:lang w:val="es"/>
        </w:rPr>
        <w:lastRenderedPageBreak/>
        <w:t>Anexo I</w:t>
      </w:r>
    </w:p>
    <w:p w14:paraId="325A47CB" w14:textId="77777777" w:rsidR="009F394A" w:rsidRPr="00034835" w:rsidRDefault="00CB3148">
      <w:pPr>
        <w:pStyle w:val="Default"/>
        <w:snapToGrid w:val="0"/>
        <w:spacing w:after="240"/>
        <w:jc w:val="center"/>
        <w:rPr>
          <w:rFonts w:eastAsia="Times New Roman" w:cs="Times New Roman"/>
          <w:bCs/>
          <w:szCs w:val="22"/>
          <w:u w:val="single"/>
        </w:rPr>
      </w:pPr>
      <w:r w:rsidRPr="00034835">
        <w:rPr>
          <w:rFonts w:cs="Times New Roman"/>
          <w:color w:val="auto"/>
          <w:szCs w:val="22"/>
          <w:u w:val="single"/>
          <w:lang w:val="es"/>
        </w:rPr>
        <w:t>Informe sobre las contribuciones en especie de los Estados Miembros a la COI</w:t>
      </w:r>
    </w:p>
    <w:p w14:paraId="4C80FF93" w14:textId="77777777" w:rsidR="009F394A" w:rsidRPr="00034835" w:rsidRDefault="00CB3148">
      <w:pPr>
        <w:spacing w:after="240"/>
        <w:jc w:val="both"/>
        <w:rPr>
          <w:rFonts w:eastAsia="Calibri" w:cs="Arial"/>
        </w:rPr>
      </w:pPr>
      <w:r w:rsidRPr="00034835">
        <w:rPr>
          <w:rFonts w:eastAsia="Calibri" w:cs="Arial"/>
          <w:lang w:val="es"/>
        </w:rPr>
        <w:t>El Consejo Ejecutivo de la COI, en su 53.ª reunión de febrero de 2021, revisó mediante la Resolución EC-53/2 los «Principios rectores de la programación y la presupuestación» para</w:t>
      </w:r>
      <w:r w:rsidRPr="00034835">
        <w:rPr>
          <w:rFonts w:eastAsia="Calibri" w:cs="Arial"/>
          <w:lang w:val="es"/>
        </w:rPr>
        <w:t xml:space="preserve"> fomentar las contribuciones extrapresupuestarias y en especie en un momento de crecientes restricciones fiscales para el presupuesto del Programa Ordinario. Esta orientación alentó:</w:t>
      </w:r>
    </w:p>
    <w:p w14:paraId="0BD99986" w14:textId="77777777" w:rsidR="009F394A" w:rsidRPr="00034835" w:rsidRDefault="00CB3148">
      <w:pPr>
        <w:numPr>
          <w:ilvl w:val="0"/>
          <w:numId w:val="36"/>
        </w:numPr>
        <w:pBdr>
          <w:top w:val="nil"/>
          <w:left w:val="nil"/>
          <w:bottom w:val="nil"/>
          <w:right w:val="nil"/>
          <w:between w:val="nil"/>
        </w:pBdr>
        <w:tabs>
          <w:tab w:val="clear" w:pos="567"/>
        </w:tabs>
        <w:spacing w:after="240"/>
        <w:ind w:hanging="720"/>
        <w:jc w:val="both"/>
        <w:rPr>
          <w:rFonts w:eastAsia="Arial" w:cs="Arial"/>
          <w:i/>
          <w:color w:val="000000"/>
        </w:rPr>
      </w:pPr>
      <w:r w:rsidRPr="00034835">
        <w:rPr>
          <w:rFonts w:eastAsia="Arial" w:cs="Arial"/>
          <w:color w:val="000000"/>
          <w:lang w:val="es"/>
        </w:rPr>
        <w:t>«</w:t>
      </w:r>
      <w:r w:rsidRPr="00034835">
        <w:rPr>
          <w:rFonts w:eastAsia="Arial" w:cs="Arial"/>
          <w:i/>
          <w:iCs/>
          <w:color w:val="000000"/>
          <w:lang w:val="es"/>
        </w:rPr>
        <w:t xml:space="preserve">Los programas deben forjar alianzas sólidas que aumenten la resiliencia </w:t>
      </w:r>
      <w:r w:rsidRPr="00034835">
        <w:rPr>
          <w:rFonts w:eastAsia="Arial" w:cs="Arial"/>
          <w:i/>
          <w:iCs/>
          <w:color w:val="000000"/>
          <w:lang w:val="es"/>
        </w:rPr>
        <w:t xml:space="preserve">financiera en caso de presiones de financiación, permitiendo a los asociados asumir una mayor proporción del apoyo a esos programas, con la condición de que dichos asociados respeten los objetivos y las directrices establecidos por los órganos rectores de </w:t>
      </w:r>
      <w:r w:rsidRPr="00034835">
        <w:rPr>
          <w:rFonts w:eastAsia="Arial" w:cs="Arial"/>
          <w:i/>
          <w:iCs/>
          <w:color w:val="000000"/>
          <w:lang w:val="es"/>
        </w:rPr>
        <w:t>la COI y respondan a la Secretaría de la COI a este respecto;</w:t>
      </w:r>
    </w:p>
    <w:p w14:paraId="35E36B78" w14:textId="77777777" w:rsidR="009F394A" w:rsidRPr="00034835" w:rsidRDefault="00CB3148">
      <w:pPr>
        <w:numPr>
          <w:ilvl w:val="0"/>
          <w:numId w:val="36"/>
        </w:numPr>
        <w:pBdr>
          <w:top w:val="nil"/>
          <w:left w:val="nil"/>
          <w:bottom w:val="nil"/>
          <w:right w:val="nil"/>
          <w:between w:val="nil"/>
        </w:pBdr>
        <w:tabs>
          <w:tab w:val="clear" w:pos="567"/>
        </w:tabs>
        <w:spacing w:after="240"/>
        <w:ind w:hanging="720"/>
        <w:jc w:val="both"/>
        <w:rPr>
          <w:rFonts w:eastAsia="Arial" w:cs="Arial"/>
          <w:i/>
          <w:color w:val="000000"/>
        </w:rPr>
      </w:pPr>
      <w:r w:rsidRPr="00034835">
        <w:rPr>
          <w:rFonts w:eastAsia="Arial" w:cs="Arial"/>
          <w:i/>
          <w:iCs/>
          <w:color w:val="000000"/>
          <w:lang w:val="es"/>
        </w:rPr>
        <w:t>Encontrar Estados Miembros dispuestos a establecer oficinas dotadas de recursos financieros y humanos a fin de hacerse cargo de una mayor proporción de un programa de la COI, siguiendo las buena</w:t>
      </w:r>
      <w:r w:rsidRPr="00034835">
        <w:rPr>
          <w:rFonts w:eastAsia="Arial" w:cs="Arial"/>
          <w:i/>
          <w:iCs/>
          <w:color w:val="000000"/>
          <w:lang w:val="es"/>
        </w:rPr>
        <w:t>s prácticas existentes, con la condición de que dichos Estados Miembros respeten los objetivos y las directrices establecidos por los órganos rectores de la COI y respondan a la Secretaría de la COI a este respecto;</w:t>
      </w:r>
    </w:p>
    <w:p w14:paraId="709EA080" w14:textId="77777777" w:rsidR="009F394A" w:rsidRPr="00034835" w:rsidRDefault="00CB3148">
      <w:pPr>
        <w:numPr>
          <w:ilvl w:val="0"/>
          <w:numId w:val="36"/>
        </w:numPr>
        <w:pBdr>
          <w:top w:val="nil"/>
          <w:left w:val="nil"/>
          <w:bottom w:val="nil"/>
          <w:right w:val="nil"/>
          <w:between w:val="nil"/>
        </w:pBdr>
        <w:tabs>
          <w:tab w:val="clear" w:pos="567"/>
        </w:tabs>
        <w:spacing w:after="240"/>
        <w:ind w:hanging="720"/>
        <w:jc w:val="both"/>
        <w:rPr>
          <w:rFonts w:eastAsia="Arial" w:cs="Arial"/>
          <w:i/>
          <w:color w:val="000000"/>
        </w:rPr>
      </w:pPr>
      <w:r w:rsidRPr="00034835">
        <w:rPr>
          <w:rFonts w:eastAsia="Arial" w:cs="Arial"/>
          <w:i/>
          <w:iCs/>
          <w:color w:val="000000"/>
          <w:lang w:val="es"/>
        </w:rPr>
        <w:t>Determinar las actividades que pueden ma</w:t>
      </w:r>
      <w:r w:rsidRPr="00034835">
        <w:rPr>
          <w:rFonts w:eastAsia="Arial" w:cs="Arial"/>
          <w:i/>
          <w:iCs/>
          <w:color w:val="000000"/>
          <w:lang w:val="es"/>
        </w:rPr>
        <w:t>ntenerse con financiación extrapresupuestaria y contribuciones en especie y, en función de ello, priorizar la asignación de los recursos del presupuesto ordinario a las actividades y funciones de la COI que no pueden mantenerse con financiación extrapresup</w:t>
      </w:r>
      <w:r w:rsidRPr="00034835">
        <w:rPr>
          <w:rFonts w:eastAsia="Arial" w:cs="Arial"/>
          <w:i/>
          <w:iCs/>
          <w:color w:val="000000"/>
          <w:lang w:val="es"/>
        </w:rPr>
        <w:t>uestaria, a fin de garantizar que los recursos, tanto del presupuesto ordinario como de las fuentes extrapresupuestarias, se utilicen de manera que permitan el cumplimiento adecuado y equilibrado de todas las funciones de la COI</w:t>
      </w:r>
      <w:r w:rsidRPr="00034835">
        <w:rPr>
          <w:rFonts w:eastAsia="Arial" w:cs="Arial"/>
          <w:color w:val="000000"/>
          <w:lang w:val="es"/>
        </w:rPr>
        <w:t>».</w:t>
      </w:r>
    </w:p>
    <w:p w14:paraId="10803A66" w14:textId="77777777" w:rsidR="009F394A" w:rsidRPr="00034835" w:rsidRDefault="00CB3148">
      <w:pPr>
        <w:spacing w:after="240"/>
        <w:rPr>
          <w:rFonts w:eastAsia="Calibri" w:cs="Arial"/>
        </w:rPr>
      </w:pPr>
      <w:r w:rsidRPr="00034835">
        <w:rPr>
          <w:rFonts w:eastAsia="Calibri" w:cs="Arial"/>
          <w:b/>
          <w:bCs/>
          <w:lang w:val="es"/>
        </w:rPr>
        <w:t>Por lo tanto, las contrib</w:t>
      </w:r>
      <w:r w:rsidRPr="00034835">
        <w:rPr>
          <w:rFonts w:eastAsia="Calibri" w:cs="Arial"/>
          <w:b/>
          <w:bCs/>
          <w:lang w:val="es"/>
        </w:rPr>
        <w:t>uciones pueden ser comunicadas si</w:t>
      </w:r>
      <w:r w:rsidRPr="00034835">
        <w:rPr>
          <w:rFonts w:eastAsia="Calibri" w:cs="Arial"/>
          <w:lang w:val="es"/>
        </w:rPr>
        <w:t xml:space="preserve">: </w:t>
      </w:r>
    </w:p>
    <w:p w14:paraId="224D241D" w14:textId="77777777" w:rsidR="009F394A" w:rsidRPr="00034835" w:rsidRDefault="00CB3148">
      <w:pPr>
        <w:numPr>
          <w:ilvl w:val="0"/>
          <w:numId w:val="35"/>
        </w:numPr>
        <w:pBdr>
          <w:top w:val="nil"/>
          <w:left w:val="nil"/>
          <w:bottom w:val="nil"/>
          <w:right w:val="nil"/>
          <w:between w:val="nil"/>
        </w:pBdr>
        <w:tabs>
          <w:tab w:val="clear" w:pos="567"/>
        </w:tabs>
        <w:spacing w:after="240"/>
        <w:ind w:hanging="720"/>
        <w:jc w:val="both"/>
        <w:rPr>
          <w:rFonts w:eastAsia="Calibri" w:cs="Arial"/>
        </w:rPr>
      </w:pPr>
      <w:r w:rsidRPr="00034835">
        <w:rPr>
          <w:rFonts w:eastAsia="Calibri" w:cs="Arial"/>
          <w:color w:val="000000"/>
          <w:lang w:val="es"/>
        </w:rPr>
        <w:t>Refuerzan la coordinación de los programas de la COI y de las actividades nacionales y regionales, incluido el fortalecimiento de los órganos subsidiarios regionales y las oficinas descentralizadas, entre ellas, las Ofic</w:t>
      </w:r>
      <w:r w:rsidRPr="00034835">
        <w:rPr>
          <w:rFonts w:eastAsia="Calibri" w:cs="Arial"/>
          <w:color w:val="000000"/>
          <w:lang w:val="es"/>
        </w:rPr>
        <w:t>inas de Coordinación del Decenio, los Centros de Coordinación del Decenio y los C2C,</w:t>
      </w:r>
    </w:p>
    <w:p w14:paraId="046F23D6" w14:textId="77777777" w:rsidR="009F394A" w:rsidRPr="00034835" w:rsidRDefault="00CB3148">
      <w:pPr>
        <w:numPr>
          <w:ilvl w:val="0"/>
          <w:numId w:val="35"/>
        </w:numPr>
        <w:pBdr>
          <w:top w:val="nil"/>
          <w:left w:val="nil"/>
          <w:bottom w:val="nil"/>
          <w:right w:val="nil"/>
          <w:between w:val="nil"/>
        </w:pBdr>
        <w:tabs>
          <w:tab w:val="clear" w:pos="567"/>
        </w:tabs>
        <w:spacing w:after="240"/>
        <w:ind w:hanging="720"/>
        <w:jc w:val="both"/>
        <w:rPr>
          <w:rFonts w:eastAsia="Calibri" w:cs="Arial"/>
        </w:rPr>
      </w:pPr>
      <w:r w:rsidRPr="00034835">
        <w:rPr>
          <w:rFonts w:eastAsia="Calibri" w:cs="Arial"/>
          <w:color w:val="000000"/>
          <w:lang w:val="es"/>
        </w:rPr>
        <w:t>Se guían por las directrices de los órganos de rectores internacionales de la COI y las apoyan; y</w:t>
      </w:r>
    </w:p>
    <w:p w14:paraId="36BE7E2B" w14:textId="77777777" w:rsidR="009F394A" w:rsidRPr="00034835" w:rsidRDefault="00CB3148">
      <w:pPr>
        <w:numPr>
          <w:ilvl w:val="0"/>
          <w:numId w:val="35"/>
        </w:numPr>
        <w:pBdr>
          <w:top w:val="nil"/>
          <w:left w:val="nil"/>
          <w:bottom w:val="nil"/>
          <w:right w:val="nil"/>
          <w:between w:val="nil"/>
        </w:pBdr>
        <w:tabs>
          <w:tab w:val="clear" w:pos="567"/>
        </w:tabs>
        <w:spacing w:after="240"/>
        <w:ind w:hanging="720"/>
        <w:jc w:val="both"/>
        <w:rPr>
          <w:rFonts w:eastAsia="Calibri" w:cs="Arial"/>
        </w:rPr>
      </w:pPr>
      <w:r w:rsidRPr="00034835">
        <w:rPr>
          <w:rFonts w:eastAsia="Calibri" w:cs="Arial"/>
          <w:color w:val="000000"/>
          <w:lang w:val="es"/>
        </w:rPr>
        <w:t xml:space="preserve">Facilitan </w:t>
      </w:r>
      <w:r w:rsidRPr="00034835">
        <w:rPr>
          <w:rFonts w:eastAsia="Calibri" w:cs="Arial"/>
          <w:lang w:val="es"/>
        </w:rPr>
        <w:t>la participación internacional coordinada en los programas de la COI.</w:t>
      </w:r>
    </w:p>
    <w:p w14:paraId="44FAFEA7" w14:textId="77777777" w:rsidR="009F394A" w:rsidRPr="00034835" w:rsidRDefault="00CB3148">
      <w:pPr>
        <w:spacing w:after="240"/>
        <w:jc w:val="both"/>
        <w:rPr>
          <w:rFonts w:eastAsia="Calibri" w:cs="Arial"/>
        </w:rPr>
      </w:pPr>
      <w:r w:rsidRPr="00034835">
        <w:rPr>
          <w:rFonts w:eastAsia="Calibri" w:cs="Arial"/>
          <w:lang w:val="es"/>
        </w:rPr>
        <w:t>«En especie» incluye la contribución de la capacidad de coordinación en conson</w:t>
      </w:r>
      <w:r w:rsidRPr="00034835">
        <w:rPr>
          <w:rFonts w:eastAsia="Calibri" w:cs="Arial"/>
          <w:lang w:val="es"/>
        </w:rPr>
        <w:t>ancia con las directrices de los órganos rectores de la COI, incluidos los servicios prestados indirectamente a través de un tercero (por ejemplo, un contratista o un socio).</w:t>
      </w:r>
    </w:p>
    <w:p w14:paraId="6C082DFF" w14:textId="77777777" w:rsidR="009F394A" w:rsidRPr="00034835" w:rsidRDefault="00CB3148">
      <w:pPr>
        <w:spacing w:after="240"/>
        <w:rPr>
          <w:rFonts w:eastAsia="Calibri" w:cs="Arial"/>
          <w:b/>
        </w:rPr>
      </w:pPr>
      <w:r w:rsidRPr="00034835">
        <w:rPr>
          <w:rFonts w:eastAsia="Calibri" w:cs="Arial"/>
          <w:b/>
          <w:bCs/>
          <w:lang w:val="es"/>
        </w:rPr>
        <w:br w:type="page"/>
      </w:r>
    </w:p>
    <w:tbl>
      <w:tblPr>
        <w:tblStyle w:val="TableGrid"/>
        <w:tblW w:w="0" w:type="auto"/>
        <w:tblLook w:val="04A0" w:firstRow="1" w:lastRow="0" w:firstColumn="1" w:lastColumn="0" w:noHBand="0" w:noVBand="1"/>
      </w:tblPr>
      <w:tblGrid>
        <w:gridCol w:w="9062"/>
      </w:tblGrid>
      <w:tr w:rsidR="00D35CD5" w:rsidRPr="00034835" w14:paraId="6F66A028" w14:textId="77777777" w:rsidTr="00F5598E">
        <w:tc>
          <w:tcPr>
            <w:tcW w:w="9062" w:type="dxa"/>
          </w:tcPr>
          <w:p w14:paraId="10D98DF8" w14:textId="77777777" w:rsidR="009F394A" w:rsidRPr="00034835" w:rsidRDefault="00CB3148" w:rsidP="00F5598E">
            <w:pPr>
              <w:rPr>
                <w:rFonts w:cstheme="minorHAnsi"/>
                <w:b/>
              </w:rPr>
            </w:pPr>
            <w:r w:rsidRPr="00034835">
              <w:rPr>
                <w:rFonts w:cstheme="minorHAnsi"/>
                <w:b/>
                <w:bCs/>
                <w:lang w:val="es"/>
              </w:rPr>
              <w:lastRenderedPageBreak/>
              <w:t xml:space="preserve">1. </w:t>
            </w:r>
            <w:r w:rsidRPr="00034835">
              <w:rPr>
                <w:rFonts w:cstheme="minorHAnsi"/>
                <w:b/>
                <w:bCs/>
                <w:lang w:val="es"/>
              </w:rPr>
              <w:t>Contribuciones en especie a la función de coordinación de la Secretaría de la COI declarables</w:t>
            </w:r>
          </w:p>
          <w:p w14:paraId="0528202A" w14:textId="77777777" w:rsidR="009F394A" w:rsidRPr="00034835" w:rsidRDefault="009F394A" w:rsidP="00F5598E">
            <w:pPr>
              <w:rPr>
                <w:rFonts w:cstheme="minorHAnsi"/>
                <w:b/>
              </w:rPr>
            </w:pPr>
          </w:p>
        </w:tc>
      </w:tr>
    </w:tbl>
    <w:p w14:paraId="4F1B0183" w14:textId="77777777" w:rsidR="009F394A" w:rsidRPr="00034835" w:rsidRDefault="009F394A" w:rsidP="009F394A">
      <w:pPr>
        <w:rPr>
          <w:rFonts w:eastAsia="Calibri" w:cstheme="minorHAnsi"/>
          <w:b/>
        </w:rPr>
      </w:pPr>
    </w:p>
    <w:p w14:paraId="5A15D67B" w14:textId="77777777" w:rsidR="009F394A" w:rsidRPr="00034835" w:rsidRDefault="009F394A" w:rsidP="009F394A">
      <w:pPr>
        <w:rPr>
          <w:rFonts w:eastAsia="Calibri" w:cstheme="minorHAnsi"/>
          <w:b/>
        </w:rPr>
      </w:pP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5"/>
        <w:gridCol w:w="4675"/>
      </w:tblGrid>
      <w:tr w:rsidR="00D35CD5" w:rsidRPr="00034835" w14:paraId="5E9A407A" w14:textId="77777777" w:rsidTr="00F5598E">
        <w:tc>
          <w:tcPr>
            <w:tcW w:w="4675" w:type="dxa"/>
          </w:tcPr>
          <w:p w14:paraId="12D20900" w14:textId="77777777" w:rsidR="009F394A" w:rsidRPr="00034835" w:rsidRDefault="00CB3148" w:rsidP="00F5598E">
            <w:pPr>
              <w:rPr>
                <w:rFonts w:eastAsia="Calibri" w:cstheme="minorHAnsi"/>
                <w:b/>
              </w:rPr>
            </w:pPr>
            <w:r w:rsidRPr="00034835">
              <w:rPr>
                <w:rFonts w:eastAsia="Calibri" w:cstheme="minorHAnsi"/>
                <w:b/>
                <w:bCs/>
                <w:lang w:val="es"/>
              </w:rPr>
              <w:t>Informar a su país u organización</w:t>
            </w:r>
          </w:p>
        </w:tc>
        <w:tc>
          <w:tcPr>
            <w:tcW w:w="4675" w:type="dxa"/>
          </w:tcPr>
          <w:p w14:paraId="1EAFF016" w14:textId="77777777" w:rsidR="009F394A" w:rsidRPr="00034835" w:rsidRDefault="00CB3148" w:rsidP="00F5598E">
            <w:pPr>
              <w:rPr>
                <w:rFonts w:eastAsia="Calibri" w:cstheme="minorHAnsi"/>
                <w:b/>
              </w:rPr>
            </w:pPr>
            <w:r w:rsidRPr="00034835">
              <w:rPr>
                <w:rFonts w:eastAsia="Calibri" w:cstheme="minorHAnsi"/>
                <w:b/>
                <w:bCs/>
                <w:lang w:val="es"/>
              </w:rPr>
              <w:t>No informar</w:t>
            </w:r>
          </w:p>
        </w:tc>
      </w:tr>
      <w:tr w:rsidR="00D35CD5" w:rsidRPr="00034835" w14:paraId="21A736E6" w14:textId="77777777" w:rsidTr="00F5598E">
        <w:trPr>
          <w:trHeight w:val="1952"/>
        </w:trPr>
        <w:tc>
          <w:tcPr>
            <w:tcW w:w="4675" w:type="dxa"/>
          </w:tcPr>
          <w:p w14:paraId="5EA862E8" w14:textId="77777777" w:rsidR="009F394A" w:rsidRPr="00034835" w:rsidRDefault="009F394A" w:rsidP="00F5598E">
            <w:pPr>
              <w:rPr>
                <w:rFonts w:eastAsia="Calibri" w:cstheme="minorHAnsi"/>
                <w:b/>
              </w:rPr>
            </w:pPr>
          </w:p>
          <w:p w14:paraId="7CE74F45" w14:textId="77777777" w:rsidR="009F394A" w:rsidRPr="00034835" w:rsidRDefault="00CB3148" w:rsidP="00F5598E">
            <w:pPr>
              <w:rPr>
                <w:rFonts w:eastAsia="Calibri" w:cstheme="minorHAnsi"/>
              </w:rPr>
            </w:pPr>
            <w:r w:rsidRPr="00034835">
              <w:rPr>
                <w:rFonts w:eastAsia="Calibri" w:cstheme="minorHAnsi"/>
                <w:lang w:val="es"/>
              </w:rPr>
              <w:t>Acogida de una oficina de la COI en virtud de un acuerdo oficial de asociación y con sujeción a las orientacio</w:t>
            </w:r>
            <w:r w:rsidRPr="00034835">
              <w:rPr>
                <w:rFonts w:eastAsia="Calibri" w:cstheme="minorHAnsi"/>
                <w:lang w:val="es"/>
              </w:rPr>
              <w:t xml:space="preserve">nes de la COI (gastos de personal, oficina y edificio), por ejemplo, acogida de los comités o subcomisiones regionales de la COI; centros de formación afiliados a la COI (que apoyan la participación internacional); acogida de la secretaría (IODE y HAB); o </w:t>
            </w:r>
            <w:r w:rsidRPr="00034835">
              <w:rPr>
                <w:rFonts w:eastAsia="Calibri" w:cstheme="minorHAnsi"/>
                <w:lang w:val="es"/>
              </w:rPr>
              <w:t xml:space="preserve">acogida de los servicios de la COI (OBIS, servicios regionales de alerta contra los tsunamis que están autorizados por la COI) </w:t>
            </w:r>
          </w:p>
          <w:p w14:paraId="50D906F9" w14:textId="77777777" w:rsidR="009F394A" w:rsidRPr="00034835" w:rsidRDefault="009F394A" w:rsidP="00F5598E">
            <w:pPr>
              <w:rPr>
                <w:rFonts w:eastAsia="Calibri" w:cstheme="minorHAnsi"/>
              </w:rPr>
            </w:pPr>
          </w:p>
          <w:p w14:paraId="30ED5081" w14:textId="77777777" w:rsidR="009F394A" w:rsidRPr="00034835" w:rsidRDefault="009F394A" w:rsidP="00F5598E">
            <w:pPr>
              <w:rPr>
                <w:rFonts w:eastAsia="Calibri" w:cstheme="minorHAnsi"/>
              </w:rPr>
            </w:pPr>
          </w:p>
          <w:p w14:paraId="1B363ABC" w14:textId="77777777" w:rsidR="009F394A" w:rsidRPr="00034835" w:rsidRDefault="009F394A" w:rsidP="00F5598E">
            <w:pPr>
              <w:rPr>
                <w:rFonts w:eastAsia="Calibri" w:cstheme="minorHAnsi"/>
              </w:rPr>
            </w:pPr>
          </w:p>
          <w:p w14:paraId="0A77F7EC" w14:textId="77777777" w:rsidR="009F394A" w:rsidRPr="00034835" w:rsidRDefault="009F394A" w:rsidP="00F5598E">
            <w:pPr>
              <w:rPr>
                <w:rFonts w:eastAsia="Calibri" w:cstheme="minorHAnsi"/>
              </w:rPr>
            </w:pPr>
          </w:p>
          <w:p w14:paraId="376EBFFF" w14:textId="77777777" w:rsidR="009F394A" w:rsidRPr="00034835" w:rsidRDefault="009F394A" w:rsidP="00F5598E">
            <w:pPr>
              <w:rPr>
                <w:rFonts w:eastAsia="Calibri" w:cstheme="minorHAnsi"/>
              </w:rPr>
            </w:pPr>
          </w:p>
          <w:p w14:paraId="2EC87A5F" w14:textId="77777777" w:rsidR="009F394A" w:rsidRPr="00034835" w:rsidRDefault="009F394A" w:rsidP="00F5598E">
            <w:pPr>
              <w:rPr>
                <w:rFonts w:eastAsia="Calibri" w:cstheme="minorHAnsi"/>
              </w:rPr>
            </w:pPr>
          </w:p>
          <w:p w14:paraId="5C0B5518" w14:textId="77777777" w:rsidR="009F394A" w:rsidRPr="00034835" w:rsidRDefault="009F394A" w:rsidP="00F5598E">
            <w:pPr>
              <w:rPr>
                <w:rFonts w:eastAsia="Calibri" w:cstheme="minorHAnsi"/>
              </w:rPr>
            </w:pPr>
          </w:p>
          <w:p w14:paraId="39CC579B" w14:textId="77777777" w:rsidR="009F394A" w:rsidRPr="00034835" w:rsidRDefault="009F394A" w:rsidP="00F5598E">
            <w:pPr>
              <w:rPr>
                <w:rFonts w:eastAsia="Calibri" w:cstheme="minorHAnsi"/>
              </w:rPr>
            </w:pPr>
          </w:p>
          <w:p w14:paraId="6F499FA3" w14:textId="77777777" w:rsidR="009F394A" w:rsidRPr="00034835" w:rsidRDefault="00CB3148" w:rsidP="00F5598E">
            <w:pPr>
              <w:rPr>
                <w:rFonts w:eastAsia="Calibri" w:cstheme="minorHAnsi"/>
              </w:rPr>
            </w:pPr>
            <w:r w:rsidRPr="00034835">
              <w:rPr>
                <w:rFonts w:eastAsia="Calibri" w:cstheme="minorHAnsi"/>
                <w:lang w:val="es"/>
              </w:rPr>
              <w:t>Labor del personal orientada a las tareas, ya sea en persona o a distancia, en apoyo directo a la coordinación del programa de la COI</w:t>
            </w:r>
          </w:p>
          <w:p w14:paraId="767E113E" w14:textId="023C64CB" w:rsidR="009F394A" w:rsidRPr="00034835" w:rsidRDefault="00034835" w:rsidP="00F5598E">
            <w:pPr>
              <w:rPr>
                <w:rFonts w:eastAsia="Calibri" w:cstheme="minorHAnsi"/>
              </w:rPr>
            </w:pPr>
            <w:r>
              <w:rPr>
                <w:rFonts w:eastAsia="Calibri" w:cstheme="minorHAnsi"/>
              </w:rPr>
              <w:t>.</w:t>
            </w:r>
          </w:p>
          <w:p w14:paraId="5D68806A" w14:textId="77777777" w:rsidR="009F394A" w:rsidRPr="00034835" w:rsidRDefault="009F394A" w:rsidP="00F5598E">
            <w:pPr>
              <w:rPr>
                <w:rFonts w:eastAsia="Calibri" w:cstheme="minorHAnsi"/>
              </w:rPr>
            </w:pPr>
          </w:p>
          <w:p w14:paraId="0D135D52" w14:textId="52F0FD90" w:rsidR="009F394A" w:rsidRPr="00034835" w:rsidRDefault="00CB3148" w:rsidP="00F5598E">
            <w:pPr>
              <w:rPr>
                <w:rFonts w:eastAsia="Calibri" w:cstheme="minorHAnsi"/>
              </w:rPr>
            </w:pPr>
            <w:r w:rsidRPr="00034835">
              <w:rPr>
                <w:rFonts w:eastAsia="Calibri" w:cstheme="minorHAnsi"/>
                <w:lang w:val="es"/>
              </w:rPr>
              <w:t>Tiempo del personal dedicado a la coordinación internacional de los programas y proyectos internacionales de la COI y su</w:t>
            </w:r>
            <w:r w:rsidRPr="00034835">
              <w:rPr>
                <w:rFonts w:eastAsia="Calibri" w:cstheme="minorHAnsi"/>
                <w:lang w:val="es"/>
              </w:rPr>
              <w:t>s órganos subsidiarios; por ejemplo, la coordinación internacional de la IIOE2, OceanOPS, ITIC y TPOS como una función de coordinación de la secretaría</w:t>
            </w:r>
            <w:r w:rsidR="00034835">
              <w:rPr>
                <w:rFonts w:eastAsia="Calibri" w:cstheme="minorHAnsi"/>
                <w:lang w:val="es"/>
              </w:rPr>
              <w:t>.</w:t>
            </w:r>
          </w:p>
          <w:p w14:paraId="3AEFBB1A" w14:textId="77777777" w:rsidR="009F394A" w:rsidRPr="00034835" w:rsidRDefault="009F394A" w:rsidP="00F5598E">
            <w:pPr>
              <w:rPr>
                <w:rFonts w:eastAsia="Calibri" w:cstheme="minorHAnsi"/>
              </w:rPr>
            </w:pPr>
          </w:p>
          <w:p w14:paraId="19E9A3A6" w14:textId="4972C4B4" w:rsidR="009F394A" w:rsidRPr="00034835" w:rsidRDefault="00CB3148" w:rsidP="00F5598E">
            <w:pPr>
              <w:rPr>
                <w:rFonts w:eastAsia="Calibri" w:cstheme="minorHAnsi"/>
              </w:rPr>
            </w:pPr>
            <w:r w:rsidRPr="00034835">
              <w:rPr>
                <w:rFonts w:eastAsia="Calibri" w:cstheme="minorHAnsi"/>
                <w:lang w:val="es"/>
              </w:rPr>
              <w:t>Acogida de las reuniones del programa de la COI, incluidos los gastos de patrocinio de los participante</w:t>
            </w:r>
            <w:r w:rsidRPr="00034835">
              <w:rPr>
                <w:rFonts w:eastAsia="Calibri" w:cstheme="minorHAnsi"/>
                <w:lang w:val="es"/>
              </w:rPr>
              <w:t>s de otros países</w:t>
            </w:r>
            <w:r w:rsidR="00034835">
              <w:rPr>
                <w:rFonts w:eastAsia="Calibri" w:cstheme="minorHAnsi"/>
                <w:lang w:val="es"/>
              </w:rPr>
              <w:t>.</w:t>
            </w:r>
          </w:p>
        </w:tc>
        <w:tc>
          <w:tcPr>
            <w:tcW w:w="4675" w:type="dxa"/>
          </w:tcPr>
          <w:p w14:paraId="3337CA8F" w14:textId="77777777" w:rsidR="009F394A" w:rsidRPr="00034835" w:rsidRDefault="009F394A" w:rsidP="00F5598E">
            <w:pPr>
              <w:rPr>
                <w:rFonts w:eastAsia="Calibri" w:cstheme="minorHAnsi"/>
                <w:b/>
              </w:rPr>
            </w:pPr>
          </w:p>
          <w:p w14:paraId="7E628CB6" w14:textId="77777777" w:rsidR="009F394A" w:rsidRPr="00034835" w:rsidRDefault="00CB3148" w:rsidP="00F5598E">
            <w:pPr>
              <w:rPr>
                <w:rFonts w:eastAsia="Calibri" w:cstheme="minorHAnsi"/>
              </w:rPr>
            </w:pPr>
            <w:r w:rsidRPr="00034835">
              <w:rPr>
                <w:rFonts w:eastAsia="Calibri" w:cstheme="minorHAnsi"/>
                <w:lang w:val="es"/>
              </w:rPr>
              <w:t>Costes de edificios, oficinas o personal o cualquier parte del tiempo que no esté relacionada con el trabajo programático de la COI, por ejemplo, las instalaciones que tienen un doble propósito solo pueden informar de las actividades relacionadas con la CO</w:t>
            </w:r>
            <w:r w:rsidRPr="00034835">
              <w:rPr>
                <w:rFonts w:eastAsia="Calibri" w:cstheme="minorHAnsi"/>
                <w:lang w:val="es"/>
              </w:rPr>
              <w:t>I o el tiempo del personal</w:t>
            </w:r>
          </w:p>
          <w:p w14:paraId="25BD2E3C" w14:textId="77777777" w:rsidR="009F394A" w:rsidRPr="00034835" w:rsidRDefault="009F394A" w:rsidP="00F5598E">
            <w:pPr>
              <w:rPr>
                <w:rFonts w:eastAsia="Calibri" w:cstheme="minorHAnsi"/>
                <w:b/>
              </w:rPr>
            </w:pPr>
          </w:p>
          <w:p w14:paraId="65A3810C" w14:textId="77777777" w:rsidR="009F394A" w:rsidRPr="00034835" w:rsidRDefault="00CB3148" w:rsidP="00F5598E">
            <w:pPr>
              <w:rPr>
                <w:rFonts w:eastAsia="Calibri" w:cstheme="minorHAnsi"/>
              </w:rPr>
            </w:pPr>
            <w:r w:rsidRPr="00034835">
              <w:rPr>
                <w:rFonts w:eastAsia="Calibri" w:cstheme="minorHAnsi"/>
                <w:lang w:val="es"/>
              </w:rPr>
              <w:t>Puntos de contacto nacionales, científicos o personal técnico que trabajan en el componente nacional de un programa permanente de la COI;</w:t>
            </w:r>
          </w:p>
          <w:p w14:paraId="4C9A8D9D" w14:textId="61F36D4D" w:rsidR="009F394A" w:rsidRPr="00034835" w:rsidRDefault="00CB3148" w:rsidP="00F5598E">
            <w:pPr>
              <w:rPr>
                <w:rFonts w:eastAsia="Calibri" w:cstheme="minorHAnsi"/>
              </w:rPr>
            </w:pPr>
            <w:r w:rsidRPr="00034835">
              <w:rPr>
                <w:rFonts w:eastAsia="Calibri" w:cstheme="minorHAnsi"/>
                <w:lang w:val="es"/>
              </w:rPr>
              <w:t>Científicos nacionales o personal técnico que prestan servicio en los órganos técnicos per</w:t>
            </w:r>
            <w:r w:rsidRPr="00034835">
              <w:rPr>
                <w:rFonts w:eastAsia="Calibri" w:cstheme="minorHAnsi"/>
                <w:lang w:val="es"/>
              </w:rPr>
              <w:t>manentes de la COI o como funcionarios de estos, por ejemplo, miembro o jefe del Panel de Cooperación sobre Boyas de Acopio de Datos</w:t>
            </w:r>
            <w:r w:rsidR="00034835">
              <w:rPr>
                <w:rFonts w:eastAsia="Calibri" w:cstheme="minorHAnsi"/>
                <w:lang w:val="es"/>
              </w:rPr>
              <w:t>.</w:t>
            </w:r>
          </w:p>
          <w:p w14:paraId="60379B39" w14:textId="77777777" w:rsidR="009F394A" w:rsidRPr="00034835" w:rsidRDefault="009F394A" w:rsidP="00F5598E">
            <w:pPr>
              <w:rPr>
                <w:rFonts w:eastAsia="Calibri" w:cstheme="minorHAnsi"/>
              </w:rPr>
            </w:pPr>
          </w:p>
          <w:p w14:paraId="504AB5B8" w14:textId="52B50D99" w:rsidR="009F394A" w:rsidRPr="00034835" w:rsidRDefault="00CB3148" w:rsidP="00F5598E">
            <w:pPr>
              <w:rPr>
                <w:rFonts w:eastAsia="Calibri" w:cstheme="minorHAnsi"/>
              </w:rPr>
            </w:pPr>
            <w:r w:rsidRPr="00034835">
              <w:rPr>
                <w:rFonts w:eastAsia="Calibri" w:cstheme="minorHAnsi"/>
                <w:lang w:val="es"/>
              </w:rPr>
              <w:t>Coste de la infraestructura física (barcos, boyas, flotadores, etc.) en los programas científicos internacionales, apoyo a</w:t>
            </w:r>
            <w:r w:rsidRPr="00034835">
              <w:rPr>
                <w:rFonts w:eastAsia="Calibri" w:cstheme="minorHAnsi"/>
                <w:lang w:val="es"/>
              </w:rPr>
              <w:t xml:space="preserve"> los barcos para la formación en el mar</w:t>
            </w:r>
            <w:r w:rsidR="00034835">
              <w:rPr>
                <w:rFonts w:eastAsia="Calibri" w:cstheme="minorHAnsi"/>
                <w:lang w:val="es"/>
              </w:rPr>
              <w:t>.</w:t>
            </w:r>
          </w:p>
          <w:p w14:paraId="5D2A2FC8" w14:textId="77777777" w:rsidR="009F394A" w:rsidRPr="00034835" w:rsidRDefault="009F394A" w:rsidP="00F5598E">
            <w:pPr>
              <w:rPr>
                <w:rFonts w:eastAsia="Calibri" w:cstheme="minorHAnsi"/>
              </w:rPr>
            </w:pPr>
          </w:p>
          <w:p w14:paraId="3677E0A0" w14:textId="77777777" w:rsidR="009F394A" w:rsidRPr="00034835" w:rsidRDefault="009F394A" w:rsidP="00F5598E">
            <w:pPr>
              <w:rPr>
                <w:rFonts w:eastAsia="Calibri" w:cstheme="minorHAnsi"/>
              </w:rPr>
            </w:pPr>
          </w:p>
          <w:p w14:paraId="2FF13337" w14:textId="77777777" w:rsidR="009F394A" w:rsidRPr="00034835" w:rsidRDefault="009F394A" w:rsidP="00F5598E">
            <w:pPr>
              <w:rPr>
                <w:rFonts w:eastAsia="Calibri" w:cstheme="minorHAnsi"/>
              </w:rPr>
            </w:pPr>
          </w:p>
          <w:p w14:paraId="53469DB2" w14:textId="77777777" w:rsidR="009F394A" w:rsidRPr="00034835" w:rsidRDefault="009F394A" w:rsidP="00F5598E">
            <w:pPr>
              <w:rPr>
                <w:rFonts w:eastAsia="Calibri" w:cstheme="minorHAnsi"/>
              </w:rPr>
            </w:pPr>
          </w:p>
          <w:p w14:paraId="571C91E6" w14:textId="77777777" w:rsidR="009F394A" w:rsidRPr="00034835" w:rsidRDefault="009F394A" w:rsidP="00F5598E">
            <w:pPr>
              <w:rPr>
                <w:rFonts w:eastAsia="Calibri" w:cstheme="minorHAnsi"/>
              </w:rPr>
            </w:pPr>
          </w:p>
          <w:p w14:paraId="7E161565" w14:textId="77777777" w:rsidR="009F394A" w:rsidRPr="00034835" w:rsidRDefault="009F394A" w:rsidP="00F5598E">
            <w:pPr>
              <w:rPr>
                <w:rFonts w:eastAsia="Calibri" w:cstheme="minorHAnsi"/>
              </w:rPr>
            </w:pPr>
          </w:p>
          <w:p w14:paraId="303FB2A9" w14:textId="06D78346" w:rsidR="009F394A" w:rsidRPr="00034835" w:rsidRDefault="00CB3148" w:rsidP="00F5598E">
            <w:pPr>
              <w:rPr>
                <w:rFonts w:eastAsia="Calibri" w:cstheme="minorHAnsi"/>
              </w:rPr>
            </w:pPr>
            <w:r w:rsidRPr="00034835">
              <w:rPr>
                <w:rFonts w:eastAsia="Calibri" w:cstheme="minorHAnsi"/>
                <w:lang w:val="es"/>
              </w:rPr>
              <w:t>Expertos de los Estados Miembros que participan en comités de expertos/grupos de tareas</w:t>
            </w:r>
            <w:r w:rsidR="00034835">
              <w:rPr>
                <w:rFonts w:eastAsia="Calibri" w:cstheme="minorHAnsi"/>
                <w:lang w:val="es"/>
              </w:rPr>
              <w:t>.</w:t>
            </w:r>
          </w:p>
          <w:p w14:paraId="16B5D7B0" w14:textId="77777777" w:rsidR="009F394A" w:rsidRPr="00034835" w:rsidRDefault="009F394A" w:rsidP="00F5598E">
            <w:pPr>
              <w:rPr>
                <w:rFonts w:eastAsia="Calibri" w:cstheme="minorHAnsi"/>
              </w:rPr>
            </w:pPr>
          </w:p>
          <w:p w14:paraId="592029B1" w14:textId="77777777" w:rsidR="009F394A" w:rsidRPr="00034835" w:rsidRDefault="009F394A" w:rsidP="00F5598E">
            <w:pPr>
              <w:rPr>
                <w:rFonts w:eastAsia="Calibri" w:cstheme="minorHAnsi"/>
              </w:rPr>
            </w:pPr>
          </w:p>
          <w:p w14:paraId="41EC5254" w14:textId="77777777" w:rsidR="009F394A" w:rsidRPr="00034835" w:rsidRDefault="009F394A" w:rsidP="00F5598E">
            <w:pPr>
              <w:rPr>
                <w:rFonts w:eastAsia="Calibri" w:cstheme="minorHAnsi"/>
              </w:rPr>
            </w:pPr>
          </w:p>
          <w:p w14:paraId="221F30FE" w14:textId="14D3BBFF" w:rsidR="009F394A" w:rsidRPr="00034835" w:rsidRDefault="00CB3148" w:rsidP="00F5598E">
            <w:pPr>
              <w:rPr>
                <w:rFonts w:eastAsia="Calibri" w:cstheme="minorHAnsi"/>
              </w:rPr>
            </w:pPr>
            <w:r w:rsidRPr="00034835">
              <w:rPr>
                <w:rFonts w:eastAsia="Calibri" w:cstheme="minorHAnsi"/>
                <w:lang w:val="es"/>
              </w:rPr>
              <w:t>Coste de la participación nacional en la reunión de la COI</w:t>
            </w:r>
            <w:r w:rsidR="00034835">
              <w:rPr>
                <w:rFonts w:eastAsia="Calibri" w:cstheme="minorHAnsi"/>
                <w:lang w:val="es"/>
              </w:rPr>
              <w:t>.</w:t>
            </w:r>
          </w:p>
        </w:tc>
      </w:tr>
    </w:tbl>
    <w:p w14:paraId="26F1D8FE" w14:textId="77777777" w:rsidR="009F394A" w:rsidRPr="00034835" w:rsidRDefault="009F394A" w:rsidP="009F394A">
      <w:pPr>
        <w:rPr>
          <w:rFonts w:eastAsia="Calibri" w:cstheme="minorHAnsi"/>
          <w:b/>
        </w:rPr>
      </w:pPr>
    </w:p>
    <w:p w14:paraId="271E4E09" w14:textId="77777777" w:rsidR="009F394A" w:rsidRPr="00034835" w:rsidRDefault="009F394A" w:rsidP="009F394A">
      <w:pPr>
        <w:rPr>
          <w:rFonts w:eastAsia="Calibri" w:cstheme="minorHAnsi"/>
          <w:b/>
        </w:rPr>
      </w:pP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D35CD5" w:rsidRPr="00034835" w14:paraId="4E0B23F2" w14:textId="77777777" w:rsidTr="00F5598E">
        <w:tc>
          <w:tcPr>
            <w:tcW w:w="9360" w:type="dxa"/>
            <w:shd w:val="clear" w:color="auto" w:fill="auto"/>
            <w:tcMar>
              <w:top w:w="100" w:type="dxa"/>
              <w:left w:w="100" w:type="dxa"/>
              <w:bottom w:w="100" w:type="dxa"/>
              <w:right w:w="100" w:type="dxa"/>
            </w:tcMar>
          </w:tcPr>
          <w:p w14:paraId="50A466DE" w14:textId="77777777" w:rsidR="009F394A" w:rsidRPr="00034835" w:rsidRDefault="00CB3148" w:rsidP="00F5598E">
            <w:pPr>
              <w:widowControl w:val="0"/>
              <w:pBdr>
                <w:top w:val="nil"/>
                <w:left w:val="nil"/>
                <w:bottom w:val="nil"/>
                <w:right w:val="nil"/>
                <w:between w:val="nil"/>
              </w:pBdr>
              <w:rPr>
                <w:rFonts w:eastAsia="Calibri" w:cstheme="minorHAnsi"/>
                <w:b/>
              </w:rPr>
            </w:pPr>
            <w:r w:rsidRPr="00034835">
              <w:rPr>
                <w:rFonts w:eastAsia="Calibri" w:cstheme="minorHAnsi"/>
                <w:b/>
                <w:bCs/>
                <w:lang w:val="es"/>
              </w:rPr>
              <w:t xml:space="preserve">2. </w:t>
            </w:r>
            <w:r w:rsidRPr="00034835">
              <w:rPr>
                <w:rFonts w:eastAsia="Calibri" w:cstheme="minorHAnsi"/>
                <w:b/>
                <w:bCs/>
                <w:lang w:val="es"/>
              </w:rPr>
              <w:t>Acuerdos formales de la COI declarables para la gestión de programas mediante contribuciones en especie</w:t>
            </w:r>
          </w:p>
        </w:tc>
      </w:tr>
    </w:tbl>
    <w:p w14:paraId="1C6ED7D4" w14:textId="77777777" w:rsidR="009F394A" w:rsidRPr="00034835" w:rsidRDefault="009F394A" w:rsidP="009F394A">
      <w:pPr>
        <w:rPr>
          <w:rFonts w:eastAsia="Calibri" w:cstheme="minorHAnsi"/>
          <w:b/>
        </w:rPr>
      </w:pP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D35CD5" w:rsidRPr="00034835" w14:paraId="68DA03AE" w14:textId="77777777" w:rsidTr="00F5598E">
        <w:trPr>
          <w:trHeight w:val="447"/>
        </w:trPr>
        <w:tc>
          <w:tcPr>
            <w:tcW w:w="4680" w:type="dxa"/>
          </w:tcPr>
          <w:p w14:paraId="635A9C7B" w14:textId="77777777" w:rsidR="009F394A" w:rsidRPr="00034835" w:rsidRDefault="00CB3148" w:rsidP="00F5598E">
            <w:pPr>
              <w:rPr>
                <w:rFonts w:eastAsia="Calibri" w:cstheme="minorHAnsi"/>
                <w:b/>
              </w:rPr>
            </w:pPr>
            <w:r w:rsidRPr="00034835">
              <w:rPr>
                <w:rFonts w:eastAsia="Calibri" w:cstheme="minorHAnsi"/>
                <w:b/>
                <w:bCs/>
                <w:lang w:val="es"/>
              </w:rPr>
              <w:t>Informar a su país u organización</w:t>
            </w:r>
          </w:p>
        </w:tc>
        <w:tc>
          <w:tcPr>
            <w:tcW w:w="4680" w:type="dxa"/>
          </w:tcPr>
          <w:p w14:paraId="26320AEE" w14:textId="77777777" w:rsidR="009F394A" w:rsidRPr="00034835" w:rsidRDefault="00CB3148" w:rsidP="00F5598E">
            <w:pPr>
              <w:rPr>
                <w:rFonts w:eastAsia="Calibri" w:cstheme="minorHAnsi"/>
                <w:b/>
              </w:rPr>
            </w:pPr>
            <w:r w:rsidRPr="00034835">
              <w:rPr>
                <w:rFonts w:eastAsia="Calibri" w:cstheme="minorHAnsi"/>
                <w:b/>
                <w:bCs/>
                <w:lang w:val="es"/>
              </w:rPr>
              <w:t>No informar</w:t>
            </w:r>
          </w:p>
        </w:tc>
      </w:tr>
      <w:tr w:rsidR="00D35CD5" w:rsidRPr="00034835" w14:paraId="4ACD8E68" w14:textId="77777777" w:rsidTr="00F5598E">
        <w:tc>
          <w:tcPr>
            <w:tcW w:w="4680" w:type="dxa"/>
            <w:shd w:val="clear" w:color="auto" w:fill="auto"/>
            <w:tcMar>
              <w:top w:w="100" w:type="dxa"/>
              <w:left w:w="100" w:type="dxa"/>
              <w:bottom w:w="100" w:type="dxa"/>
              <w:right w:w="100" w:type="dxa"/>
            </w:tcMar>
          </w:tcPr>
          <w:p w14:paraId="0ECC2565" w14:textId="77777777" w:rsidR="009F394A" w:rsidRPr="00034835" w:rsidRDefault="00CB3148" w:rsidP="00F5598E">
            <w:pPr>
              <w:rPr>
                <w:rFonts w:eastAsia="Calibri" w:cstheme="minorHAnsi"/>
                <w:b/>
              </w:rPr>
            </w:pPr>
            <w:r w:rsidRPr="00034835">
              <w:rPr>
                <w:rFonts w:eastAsia="Calibri" w:cstheme="minorHAnsi"/>
                <w:lang w:val="es"/>
              </w:rPr>
              <w:t xml:space="preserve">Actividades que apoyan directamente las necesidades de la misión operativa de la COI </w:t>
            </w:r>
            <w:r w:rsidRPr="00034835">
              <w:rPr>
                <w:rFonts w:eastAsia="Calibri" w:cstheme="minorHAnsi"/>
                <w:lang w:val="es"/>
              </w:rPr>
              <w:lastRenderedPageBreak/>
              <w:t>mediante un acuerdo formal o la designación de un proveedor de servicios de tsunamis)</w:t>
            </w:r>
          </w:p>
        </w:tc>
        <w:tc>
          <w:tcPr>
            <w:tcW w:w="4680" w:type="dxa"/>
            <w:shd w:val="clear" w:color="auto" w:fill="auto"/>
            <w:tcMar>
              <w:top w:w="100" w:type="dxa"/>
              <w:left w:w="100" w:type="dxa"/>
              <w:bottom w:w="100" w:type="dxa"/>
              <w:right w:w="100" w:type="dxa"/>
            </w:tcMar>
          </w:tcPr>
          <w:p w14:paraId="48C35ED8" w14:textId="77777777" w:rsidR="009F394A" w:rsidRPr="00034835" w:rsidRDefault="00CB3148" w:rsidP="00F5598E">
            <w:pPr>
              <w:rPr>
                <w:rFonts w:eastAsia="Calibri" w:cstheme="minorHAnsi"/>
              </w:rPr>
            </w:pPr>
            <w:r w:rsidRPr="00034835">
              <w:rPr>
                <w:rFonts w:eastAsia="Calibri" w:cstheme="minorHAnsi"/>
                <w:lang w:val="es"/>
              </w:rPr>
              <w:lastRenderedPageBreak/>
              <w:t xml:space="preserve">Actividades, incluidos los sistemas de observación de los océanos y de alerta </w:t>
            </w:r>
            <w:r w:rsidRPr="00034835">
              <w:rPr>
                <w:rFonts w:eastAsia="Calibri" w:cstheme="minorHAnsi"/>
                <w:lang w:val="es"/>
              </w:rPr>
              <w:lastRenderedPageBreak/>
              <w:t>tempran</w:t>
            </w:r>
            <w:r w:rsidRPr="00034835">
              <w:rPr>
                <w:rFonts w:eastAsia="Calibri" w:cstheme="minorHAnsi"/>
                <w:lang w:val="es"/>
              </w:rPr>
              <w:t>a, que apoyan principalmente los intereses nacionales</w:t>
            </w:r>
          </w:p>
          <w:p w14:paraId="0A1A656E" w14:textId="77777777" w:rsidR="009F394A" w:rsidRPr="00034835" w:rsidRDefault="009F394A" w:rsidP="00F5598E">
            <w:pPr>
              <w:rPr>
                <w:rFonts w:eastAsia="Calibri" w:cstheme="minorHAnsi"/>
              </w:rPr>
            </w:pPr>
          </w:p>
          <w:p w14:paraId="31B1E216" w14:textId="77777777" w:rsidR="009F394A" w:rsidRPr="00034835" w:rsidRDefault="00CB3148" w:rsidP="00F5598E">
            <w:pPr>
              <w:rPr>
                <w:rFonts w:eastAsia="Calibri" w:cstheme="minorHAnsi"/>
              </w:rPr>
            </w:pPr>
            <w:r w:rsidRPr="00034835">
              <w:rPr>
                <w:rFonts w:eastAsia="Calibri" w:cstheme="minorHAnsi"/>
                <w:lang w:val="es"/>
              </w:rPr>
              <w:t>Coste de la infraestructura física (barcos, boyas, flotadores, etc.) en los programas científicos internacionales, apoyo a los barcos para la formación en el mar</w:t>
            </w:r>
          </w:p>
          <w:p w14:paraId="103B3784" w14:textId="77777777" w:rsidR="009F394A" w:rsidRPr="00034835" w:rsidRDefault="009F394A" w:rsidP="00F5598E">
            <w:pPr>
              <w:rPr>
                <w:rFonts w:eastAsia="Calibri" w:cstheme="minorHAnsi"/>
              </w:rPr>
            </w:pPr>
          </w:p>
        </w:tc>
      </w:tr>
    </w:tbl>
    <w:p w14:paraId="4ADD0240" w14:textId="77777777" w:rsidR="009F394A" w:rsidRPr="00034835" w:rsidRDefault="009F394A" w:rsidP="009F394A">
      <w:pPr>
        <w:rPr>
          <w:rFonts w:eastAsia="Calibri" w:cstheme="minorHAnsi"/>
          <w:b/>
        </w:rPr>
      </w:pPr>
    </w:p>
    <w:p w14:paraId="1BAC1C41" w14:textId="77777777" w:rsidR="009F394A" w:rsidRPr="00034835" w:rsidRDefault="00CB3148">
      <w:pPr>
        <w:shd w:val="clear" w:color="auto" w:fill="D9D9D9" w:themeFill="background1" w:themeFillShade="D9"/>
        <w:spacing w:after="240"/>
        <w:jc w:val="both"/>
        <w:rPr>
          <w:rFonts w:eastAsia="Calibri" w:cstheme="minorHAnsi"/>
          <w:b/>
        </w:rPr>
      </w:pPr>
      <w:r w:rsidRPr="00034835">
        <w:rPr>
          <w:rFonts w:eastAsia="Calibri" w:cstheme="minorHAnsi"/>
          <w:b/>
          <w:bCs/>
          <w:lang w:val="es"/>
        </w:rPr>
        <w:t>PLANTILLA PARA LAS CONTRIBUCIONES EN ESPECIE</w:t>
      </w:r>
    </w:p>
    <w:p w14:paraId="34C4BCA3" w14:textId="77777777" w:rsidR="009F394A" w:rsidRPr="00034835" w:rsidRDefault="00CB3148">
      <w:pPr>
        <w:spacing w:after="240"/>
        <w:jc w:val="both"/>
        <w:rPr>
          <w:rFonts w:eastAsia="Calibri" w:cstheme="minorHAnsi"/>
          <w:color w:val="1F497D"/>
        </w:rPr>
      </w:pPr>
      <w:r w:rsidRPr="00034835">
        <w:rPr>
          <w:rFonts w:eastAsia="Roboto" w:cstheme="minorHAnsi"/>
          <w:color w:val="3C4043"/>
          <w:lang w:val="es"/>
        </w:rPr>
        <w:t>La Secretaría enviará a los Estados Miembros las solicitudes de información actualizada sobre las contribuciones en especie del año natural mediante cartas circulares anuales en junio/julio. La respuesta se soli</w:t>
      </w:r>
      <w:r w:rsidRPr="00034835">
        <w:rPr>
          <w:rFonts w:eastAsia="Roboto" w:cstheme="minorHAnsi"/>
          <w:color w:val="3C4043"/>
          <w:lang w:val="es"/>
        </w:rPr>
        <w:t xml:space="preserve">citará antes del 31 de enero del año siguiente.  </w:t>
      </w:r>
    </w:p>
    <w:tbl>
      <w:tblPr>
        <w:tblW w:w="80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5"/>
        <w:gridCol w:w="1350"/>
        <w:gridCol w:w="3240"/>
        <w:gridCol w:w="1710"/>
      </w:tblGrid>
      <w:tr w:rsidR="00D35CD5" w:rsidRPr="00034835" w14:paraId="6D2302E6" w14:textId="77777777" w:rsidTr="009F394A">
        <w:trPr>
          <w:jc w:val="center"/>
        </w:trPr>
        <w:tc>
          <w:tcPr>
            <w:tcW w:w="8005" w:type="dxa"/>
            <w:gridSpan w:val="4"/>
          </w:tcPr>
          <w:p w14:paraId="7A857694" w14:textId="77777777" w:rsidR="009F394A" w:rsidRPr="00034835" w:rsidRDefault="00CB3148">
            <w:pPr>
              <w:spacing w:after="240"/>
              <w:jc w:val="both"/>
              <w:rPr>
                <w:rFonts w:eastAsia="Calibri" w:cstheme="minorHAnsi"/>
                <w:b/>
              </w:rPr>
            </w:pPr>
            <w:r w:rsidRPr="00034835">
              <w:rPr>
                <w:rFonts w:eastAsia="Calibri" w:cstheme="minorHAnsi"/>
                <w:b/>
                <w:bCs/>
                <w:lang w:val="es"/>
              </w:rPr>
              <w:t>COMISIÓN OCEANOGRÁFICA INTERGUBERNAMENTAL</w:t>
            </w:r>
          </w:p>
        </w:tc>
      </w:tr>
      <w:tr w:rsidR="00D35CD5" w:rsidRPr="00034835" w14:paraId="0CF4BDA4" w14:textId="77777777" w:rsidTr="009F394A">
        <w:trPr>
          <w:jc w:val="center"/>
        </w:trPr>
        <w:tc>
          <w:tcPr>
            <w:tcW w:w="8005" w:type="dxa"/>
            <w:gridSpan w:val="4"/>
          </w:tcPr>
          <w:p w14:paraId="73332A90" w14:textId="77777777" w:rsidR="009F394A" w:rsidRPr="00034835" w:rsidRDefault="00CB3148">
            <w:pPr>
              <w:spacing w:after="240"/>
              <w:jc w:val="both"/>
              <w:rPr>
                <w:rFonts w:eastAsia="Calibri" w:cstheme="minorHAnsi"/>
                <w:b/>
              </w:rPr>
            </w:pPr>
            <w:r w:rsidRPr="00034835">
              <w:rPr>
                <w:rFonts w:eastAsia="Calibri" w:cstheme="minorHAnsi"/>
                <w:b/>
                <w:bCs/>
                <w:lang w:val="es"/>
              </w:rPr>
              <w:t>Contribuciones en especie aportadas en el año natural 2xxx</w:t>
            </w:r>
          </w:p>
        </w:tc>
      </w:tr>
      <w:tr w:rsidR="00D35CD5" w:rsidRPr="00034835" w14:paraId="1D498FA4" w14:textId="77777777" w:rsidTr="009F394A">
        <w:trPr>
          <w:jc w:val="center"/>
        </w:trPr>
        <w:tc>
          <w:tcPr>
            <w:tcW w:w="1705" w:type="dxa"/>
          </w:tcPr>
          <w:p w14:paraId="241C02A3" w14:textId="77777777" w:rsidR="009F394A" w:rsidRPr="00034835" w:rsidRDefault="00CB3148">
            <w:pPr>
              <w:spacing w:after="240"/>
              <w:jc w:val="both"/>
              <w:rPr>
                <w:rFonts w:eastAsia="Calibri" w:cstheme="minorHAnsi"/>
                <w:b/>
              </w:rPr>
            </w:pPr>
            <w:r w:rsidRPr="00034835">
              <w:rPr>
                <w:rFonts w:eastAsia="Calibri" w:cstheme="minorHAnsi"/>
                <w:b/>
                <w:bCs/>
                <w:lang w:val="es"/>
              </w:rPr>
              <w:t>Donante</w:t>
            </w:r>
          </w:p>
        </w:tc>
        <w:tc>
          <w:tcPr>
            <w:tcW w:w="1350" w:type="dxa"/>
          </w:tcPr>
          <w:p w14:paraId="619DFAAF" w14:textId="77777777" w:rsidR="009F394A" w:rsidRPr="00034835" w:rsidRDefault="00CB3148">
            <w:pPr>
              <w:spacing w:after="240"/>
              <w:jc w:val="both"/>
              <w:rPr>
                <w:rFonts w:eastAsia="Calibri" w:cstheme="minorHAnsi"/>
                <w:b/>
              </w:rPr>
            </w:pPr>
            <w:r w:rsidRPr="00034835">
              <w:rPr>
                <w:rFonts w:eastAsia="Calibri" w:cstheme="minorHAnsi"/>
                <w:b/>
                <w:bCs/>
                <w:lang w:val="es"/>
              </w:rPr>
              <w:t>$</w:t>
            </w:r>
          </w:p>
        </w:tc>
        <w:tc>
          <w:tcPr>
            <w:tcW w:w="3240" w:type="dxa"/>
          </w:tcPr>
          <w:p w14:paraId="04A6F2C1" w14:textId="77777777" w:rsidR="009F394A" w:rsidRPr="00034835" w:rsidRDefault="00CB3148">
            <w:pPr>
              <w:spacing w:after="240"/>
              <w:jc w:val="both"/>
              <w:rPr>
                <w:rFonts w:eastAsia="Calibri" w:cstheme="minorHAnsi"/>
                <w:b/>
              </w:rPr>
            </w:pPr>
            <w:r w:rsidRPr="00034835">
              <w:rPr>
                <w:rFonts w:eastAsia="Calibri" w:cstheme="minorHAnsi"/>
                <w:b/>
                <w:bCs/>
                <w:lang w:val="es"/>
              </w:rPr>
              <w:t>Propósito</w:t>
            </w:r>
          </w:p>
        </w:tc>
        <w:tc>
          <w:tcPr>
            <w:tcW w:w="1710" w:type="dxa"/>
          </w:tcPr>
          <w:p w14:paraId="13BB8E2A" w14:textId="77777777" w:rsidR="009F394A" w:rsidRPr="00034835" w:rsidRDefault="00CB3148">
            <w:pPr>
              <w:spacing w:after="240"/>
              <w:jc w:val="both"/>
              <w:rPr>
                <w:rFonts w:eastAsia="Calibri" w:cstheme="minorHAnsi"/>
                <w:b/>
              </w:rPr>
            </w:pPr>
            <w:r w:rsidRPr="00034835">
              <w:rPr>
                <w:rFonts w:eastAsia="Calibri" w:cstheme="minorHAnsi"/>
                <w:b/>
                <w:bCs/>
                <w:lang w:val="es"/>
              </w:rPr>
              <w:t>Función de la COI</w:t>
            </w:r>
          </w:p>
        </w:tc>
      </w:tr>
      <w:tr w:rsidR="00D35CD5" w:rsidRPr="00034835" w14:paraId="1C52FD08" w14:textId="77777777" w:rsidTr="009F394A">
        <w:trPr>
          <w:jc w:val="center"/>
        </w:trPr>
        <w:tc>
          <w:tcPr>
            <w:tcW w:w="1705" w:type="dxa"/>
          </w:tcPr>
          <w:p w14:paraId="2A184AC4" w14:textId="77777777" w:rsidR="009F394A" w:rsidRPr="00034835" w:rsidRDefault="009F394A">
            <w:pPr>
              <w:spacing w:after="240"/>
              <w:jc w:val="both"/>
              <w:rPr>
                <w:rFonts w:eastAsia="Calibri" w:cstheme="minorHAnsi"/>
                <w:b/>
              </w:rPr>
            </w:pPr>
          </w:p>
        </w:tc>
        <w:tc>
          <w:tcPr>
            <w:tcW w:w="1350" w:type="dxa"/>
          </w:tcPr>
          <w:p w14:paraId="00F8FFEC" w14:textId="77777777" w:rsidR="009F394A" w:rsidRPr="00034835" w:rsidRDefault="009F394A">
            <w:pPr>
              <w:spacing w:after="240"/>
              <w:jc w:val="both"/>
              <w:rPr>
                <w:rFonts w:eastAsia="Calibri" w:cstheme="minorHAnsi"/>
                <w:b/>
              </w:rPr>
            </w:pPr>
          </w:p>
        </w:tc>
        <w:tc>
          <w:tcPr>
            <w:tcW w:w="3240" w:type="dxa"/>
          </w:tcPr>
          <w:p w14:paraId="6B7EB57B" w14:textId="77777777" w:rsidR="009F394A" w:rsidRPr="00034835" w:rsidRDefault="009F394A">
            <w:pPr>
              <w:spacing w:after="240"/>
              <w:jc w:val="both"/>
              <w:rPr>
                <w:rFonts w:eastAsia="Calibri" w:cstheme="minorHAnsi"/>
                <w:b/>
              </w:rPr>
            </w:pPr>
          </w:p>
        </w:tc>
        <w:tc>
          <w:tcPr>
            <w:tcW w:w="1710" w:type="dxa"/>
          </w:tcPr>
          <w:p w14:paraId="77052B17" w14:textId="77777777" w:rsidR="009F394A" w:rsidRPr="00034835" w:rsidRDefault="009F394A">
            <w:pPr>
              <w:spacing w:after="240"/>
              <w:jc w:val="both"/>
              <w:rPr>
                <w:rFonts w:eastAsia="Calibri" w:cstheme="minorHAnsi"/>
                <w:b/>
              </w:rPr>
            </w:pPr>
          </w:p>
        </w:tc>
      </w:tr>
      <w:tr w:rsidR="00D35CD5" w:rsidRPr="00034835" w14:paraId="5E877565" w14:textId="77777777" w:rsidTr="009F394A">
        <w:trPr>
          <w:jc w:val="center"/>
        </w:trPr>
        <w:tc>
          <w:tcPr>
            <w:tcW w:w="1705" w:type="dxa"/>
          </w:tcPr>
          <w:p w14:paraId="36C1D022" w14:textId="77777777" w:rsidR="009F394A" w:rsidRPr="00034835" w:rsidRDefault="009F394A">
            <w:pPr>
              <w:spacing w:after="240"/>
              <w:jc w:val="both"/>
              <w:rPr>
                <w:rFonts w:eastAsia="Calibri" w:cstheme="minorHAnsi"/>
                <w:b/>
              </w:rPr>
            </w:pPr>
          </w:p>
        </w:tc>
        <w:tc>
          <w:tcPr>
            <w:tcW w:w="1350" w:type="dxa"/>
          </w:tcPr>
          <w:p w14:paraId="445A72FB" w14:textId="77777777" w:rsidR="009F394A" w:rsidRPr="00034835" w:rsidRDefault="009F394A">
            <w:pPr>
              <w:spacing w:after="240"/>
              <w:jc w:val="both"/>
              <w:rPr>
                <w:rFonts w:eastAsia="Calibri" w:cstheme="minorHAnsi"/>
                <w:b/>
              </w:rPr>
            </w:pPr>
          </w:p>
        </w:tc>
        <w:tc>
          <w:tcPr>
            <w:tcW w:w="3240" w:type="dxa"/>
          </w:tcPr>
          <w:p w14:paraId="5CF9DDB9" w14:textId="77777777" w:rsidR="009F394A" w:rsidRPr="00034835" w:rsidRDefault="009F394A">
            <w:pPr>
              <w:spacing w:after="240"/>
              <w:jc w:val="both"/>
              <w:rPr>
                <w:rFonts w:eastAsia="Calibri" w:cstheme="minorHAnsi"/>
                <w:b/>
              </w:rPr>
            </w:pPr>
          </w:p>
        </w:tc>
        <w:tc>
          <w:tcPr>
            <w:tcW w:w="1710" w:type="dxa"/>
          </w:tcPr>
          <w:p w14:paraId="78BBFA8A" w14:textId="77777777" w:rsidR="009F394A" w:rsidRPr="00034835" w:rsidRDefault="009F394A">
            <w:pPr>
              <w:spacing w:after="240"/>
              <w:jc w:val="both"/>
              <w:rPr>
                <w:rFonts w:eastAsia="Calibri" w:cstheme="minorHAnsi"/>
                <w:b/>
              </w:rPr>
            </w:pPr>
          </w:p>
        </w:tc>
      </w:tr>
    </w:tbl>
    <w:p w14:paraId="0DAF87E0" w14:textId="77777777" w:rsidR="009F394A" w:rsidRPr="00034835" w:rsidRDefault="009F394A">
      <w:pPr>
        <w:spacing w:after="240"/>
        <w:jc w:val="both"/>
        <w:rPr>
          <w:rFonts w:eastAsia="Calibri" w:cstheme="minorHAnsi"/>
          <w:color w:val="1F497D"/>
        </w:rPr>
      </w:pPr>
    </w:p>
    <w:p w14:paraId="21FC4A3C" w14:textId="77777777" w:rsidR="009F394A" w:rsidRPr="00034835" w:rsidRDefault="00CB3148">
      <w:pPr>
        <w:spacing w:after="240"/>
        <w:jc w:val="both"/>
        <w:rPr>
          <w:rFonts w:eastAsia="Calibri" w:cstheme="minorHAnsi"/>
          <w:color w:val="1F497D"/>
        </w:rPr>
      </w:pPr>
      <w:r w:rsidRPr="00034835">
        <w:rPr>
          <w:rFonts w:eastAsia="Calibri" w:cstheme="minorHAnsi"/>
          <w:color w:val="1F497D"/>
          <w:lang w:val="es"/>
        </w:rPr>
        <w:t>Fecha límite de presentación: 31 de enero del año siguiente.</w:t>
      </w:r>
    </w:p>
    <w:p w14:paraId="66B89991" w14:textId="57AFA789" w:rsidR="009F394A" w:rsidRPr="00F02A0F" w:rsidRDefault="00CB3148">
      <w:pPr>
        <w:spacing w:after="240"/>
        <w:jc w:val="both"/>
        <w:rPr>
          <w:rFonts w:eastAsia="Calibri" w:cstheme="minorHAnsi"/>
        </w:rPr>
      </w:pPr>
      <w:r w:rsidRPr="00034835">
        <w:rPr>
          <w:rFonts w:eastAsia="Calibri" w:cstheme="minorHAnsi"/>
          <w:u w:val="single"/>
          <w:lang w:val="es"/>
        </w:rPr>
        <w:t>Nota</w:t>
      </w:r>
      <w:r w:rsidRPr="00034835">
        <w:rPr>
          <w:rFonts w:eastAsia="Calibri" w:cstheme="minorHAnsi"/>
          <w:lang w:val="es"/>
        </w:rPr>
        <w:t>:</w:t>
      </w:r>
      <w:r w:rsidRPr="00034835">
        <w:rPr>
          <w:rFonts w:eastAsia="Calibri" w:cstheme="minorHAnsi"/>
          <w:lang w:val="es"/>
        </w:rPr>
        <w:t xml:space="preserve"> La distinción entre dos categorías distintas de contribuciones en especie podría requerir un debate adicional.</w:t>
      </w:r>
      <w:r w:rsidRPr="00034835">
        <w:rPr>
          <w:rFonts w:eastAsia="Calibri" w:cstheme="minorHAnsi"/>
          <w:lang w:val="es"/>
        </w:rPr>
        <w:t xml:space="preserve"> La línea que separa ambas categorías puede ser muy fina, salvo en el caso de las contribuciones informales en especie, como la organización d</w:t>
      </w:r>
      <w:r w:rsidRPr="00034835">
        <w:rPr>
          <w:rFonts w:eastAsia="Calibri" w:cstheme="minorHAnsi"/>
          <w:lang w:val="es"/>
        </w:rPr>
        <w:t>e un viaje o un taller.</w:t>
      </w:r>
    </w:p>
    <w:p w14:paraId="52E82B3D" w14:textId="77777777" w:rsidR="009F394A" w:rsidRPr="000102B7" w:rsidRDefault="009F394A">
      <w:pPr>
        <w:pStyle w:val="Default"/>
        <w:snapToGrid w:val="0"/>
        <w:spacing w:after="240"/>
        <w:jc w:val="both"/>
        <w:rPr>
          <w:rFonts w:asciiTheme="minorHAnsi" w:hAnsiTheme="minorHAnsi" w:cstheme="minorHAnsi"/>
          <w:b/>
          <w:color w:val="000000" w:themeColor="text1"/>
          <w:sz w:val="22"/>
          <w:szCs w:val="22"/>
        </w:rPr>
      </w:pPr>
    </w:p>
    <w:p w14:paraId="2FCF9BA7" w14:textId="77777777" w:rsidR="006805F7" w:rsidRPr="00A3408F" w:rsidRDefault="006805F7">
      <w:pPr>
        <w:spacing w:after="240"/>
        <w:jc w:val="both"/>
        <w:rPr>
          <w:rFonts w:cs="Arial"/>
          <w:szCs w:val="22"/>
        </w:rPr>
      </w:pPr>
    </w:p>
    <w:sectPr w:rsidR="006805F7" w:rsidRPr="00A3408F" w:rsidSect="003F7186">
      <w:headerReference w:type="even" r:id="rId29"/>
      <w:headerReference w:type="default" r:id="rId30"/>
      <w:headerReference w:type="first" r:id="rId31"/>
      <w:type w:val="oddPage"/>
      <w:pgSz w:w="11906" w:h="16838" w:code="9"/>
      <w:pgMar w:top="1418" w:right="1134" w:bottom="1134" w:left="1134" w:header="709" w:footer="68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AB99B1" w14:textId="77777777" w:rsidR="00000000" w:rsidRDefault="00CB3148">
      <w:r>
        <w:separator/>
      </w:r>
    </w:p>
  </w:endnote>
  <w:endnote w:type="continuationSeparator" w:id="0">
    <w:p w14:paraId="1050E5CB" w14:textId="77777777" w:rsidR="00000000" w:rsidRDefault="00CB31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Noto Sans Symbols">
    <w:altName w:val="Times New Roman"/>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Roboto">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931D00" w14:textId="77777777" w:rsidR="00000000" w:rsidRDefault="00CB3148">
      <w:r>
        <w:separator/>
      </w:r>
    </w:p>
  </w:footnote>
  <w:footnote w:type="continuationSeparator" w:id="0">
    <w:p w14:paraId="2385A8F4" w14:textId="77777777" w:rsidR="00000000" w:rsidRDefault="00CB31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475CDC" w14:textId="77777777" w:rsidR="00441140" w:rsidRPr="00C962F0" w:rsidRDefault="00CB3148">
    <w:pPr>
      <w:pStyle w:val="Header"/>
      <w:rPr>
        <w:szCs w:val="22"/>
      </w:rPr>
    </w:pPr>
    <w:r>
      <w:rPr>
        <w:szCs w:val="22"/>
        <w:lang w:val="es"/>
      </w:rPr>
      <w:t xml:space="preserve">ICG/CARIBE-EWS II/WD </w:t>
    </w:r>
    <w:r>
      <w:rPr>
        <w:szCs w:val="22"/>
        <w:highlight w:val="cyan"/>
        <w:lang w:val="es"/>
      </w:rPr>
      <w:t>__</w:t>
    </w:r>
  </w:p>
  <w:p w14:paraId="5DC24181" w14:textId="77777777" w:rsidR="00441140" w:rsidRPr="00C962F0" w:rsidRDefault="00CB3148">
    <w:pPr>
      <w:pStyle w:val="Header"/>
      <w:rPr>
        <w:szCs w:val="22"/>
      </w:rPr>
    </w:pPr>
    <w:r>
      <w:rPr>
        <w:szCs w:val="22"/>
        <w:lang w:val="es"/>
      </w:rPr>
      <w:t xml:space="preserve">Página </w:t>
    </w:r>
    <w:r>
      <w:rPr>
        <w:rStyle w:val="PageNumber"/>
        <w:szCs w:val="22"/>
        <w:lang w:val="es"/>
      </w:rPr>
      <w:fldChar w:fldCharType="begin"/>
    </w:r>
    <w:r>
      <w:rPr>
        <w:rStyle w:val="PageNumber"/>
        <w:szCs w:val="22"/>
        <w:lang w:val="es"/>
      </w:rPr>
      <w:instrText xml:space="preserve"> PAGE </w:instrText>
    </w:r>
    <w:r>
      <w:rPr>
        <w:rStyle w:val="PageNumber"/>
        <w:szCs w:val="22"/>
        <w:lang w:val="es"/>
      </w:rPr>
      <w:fldChar w:fldCharType="separate"/>
    </w:r>
    <w:r>
      <w:rPr>
        <w:rStyle w:val="PageNumber"/>
        <w:noProof/>
        <w:szCs w:val="22"/>
        <w:lang w:val="es"/>
      </w:rPr>
      <w:t>2</w:t>
    </w:r>
    <w:r>
      <w:rPr>
        <w:rStyle w:val="PageNumber"/>
        <w:szCs w:val="22"/>
        <w:lang w:val="e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2DB083" w14:textId="77777777" w:rsidR="00441140" w:rsidRPr="00746B89" w:rsidRDefault="00CB3148" w:rsidP="00DF2FB9">
    <w:pPr>
      <w:pStyle w:val="Header"/>
      <w:tabs>
        <w:tab w:val="clear" w:pos="8306"/>
      </w:tabs>
      <w:rPr>
        <w:szCs w:val="22"/>
      </w:rPr>
    </w:pPr>
    <w:r>
      <w:rPr>
        <w:szCs w:val="22"/>
        <w:lang w:val="es"/>
      </w:rPr>
      <w:t xml:space="preserve">IOC-XXIV/2 Anexo </w:t>
    </w:r>
    <w:r>
      <w:rPr>
        <w:szCs w:val="22"/>
        <w:highlight w:val="yellow"/>
        <w:lang w:val="es"/>
      </w:rPr>
      <w:t>__</w:t>
    </w:r>
  </w:p>
  <w:p w14:paraId="1BD9728D" w14:textId="77777777" w:rsidR="00441140" w:rsidRPr="00746B89" w:rsidRDefault="00CB3148" w:rsidP="00DF2FB9">
    <w:pPr>
      <w:pStyle w:val="Header"/>
      <w:tabs>
        <w:tab w:val="clear" w:pos="8306"/>
      </w:tabs>
      <w:rPr>
        <w:szCs w:val="22"/>
      </w:rPr>
    </w:pPr>
    <w:r>
      <w:rPr>
        <w:szCs w:val="22"/>
        <w:lang w:val="es"/>
      </w:rPr>
      <w:t xml:space="preserve">Página </w:t>
    </w:r>
    <w:r>
      <w:rPr>
        <w:rStyle w:val="PageNumber"/>
        <w:szCs w:val="22"/>
        <w:lang w:val="es"/>
      </w:rPr>
      <w:fldChar w:fldCharType="begin"/>
    </w:r>
    <w:r>
      <w:rPr>
        <w:rStyle w:val="PageNumber"/>
        <w:szCs w:val="22"/>
        <w:lang w:val="es"/>
      </w:rPr>
      <w:instrText xml:space="preserve"> PAGE </w:instrText>
    </w:r>
    <w:r>
      <w:rPr>
        <w:rStyle w:val="PageNumber"/>
        <w:szCs w:val="22"/>
        <w:lang w:val="es"/>
      </w:rPr>
      <w:fldChar w:fldCharType="separate"/>
    </w:r>
    <w:r>
      <w:rPr>
        <w:rStyle w:val="PageNumber"/>
        <w:noProof/>
        <w:szCs w:val="22"/>
        <w:lang w:val="es"/>
      </w:rPr>
      <w:t>3</w:t>
    </w:r>
    <w:r>
      <w:rPr>
        <w:rStyle w:val="PageNumber"/>
        <w:szCs w:val="22"/>
        <w:lang w:val="es"/>
      </w:rPr>
      <w:fldChar w:fldCharType="end"/>
    </w:r>
  </w:p>
  <w:p w14:paraId="000C4EBD" w14:textId="77777777" w:rsidR="00441140" w:rsidRPr="00DF2FB9" w:rsidRDefault="00441140" w:rsidP="00DF2FB9">
    <w:pPr>
      <w:pStyle w:val="Header"/>
      <w:rPr>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DB8DE4" w14:textId="77777777" w:rsidR="00441140" w:rsidRPr="005E544C" w:rsidRDefault="00CB3148" w:rsidP="00980BE0">
    <w:pPr>
      <w:pStyle w:val="Marge"/>
      <w:tabs>
        <w:tab w:val="left" w:pos="7230"/>
        <w:tab w:val="left" w:pos="8080"/>
      </w:tabs>
      <w:spacing w:after="0"/>
      <w:rPr>
        <w:rFonts w:cs="Arial"/>
        <w:b/>
        <w:szCs w:val="22"/>
      </w:rPr>
    </w:pPr>
    <w:r>
      <w:rPr>
        <w:lang w:val="es"/>
      </w:rPr>
      <w:tab/>
    </w:r>
  </w:p>
  <w:p w14:paraId="22DF1129" w14:textId="77777777" w:rsidR="000156E0" w:rsidRPr="007D1933" w:rsidRDefault="00CB3148" w:rsidP="007D1933">
    <w:pPr>
      <w:pStyle w:val="Marge"/>
      <w:tabs>
        <w:tab w:val="left" w:pos="6663"/>
        <w:tab w:val="left" w:pos="8080"/>
      </w:tabs>
      <w:spacing w:after="0"/>
      <w:rPr>
        <w:rFonts w:cs="Arial"/>
        <w:b/>
        <w:sz w:val="36"/>
        <w:szCs w:val="36"/>
      </w:rPr>
    </w:pPr>
    <w:r>
      <w:rPr>
        <w:rFonts w:cs="Arial"/>
        <w:szCs w:val="22"/>
        <w:lang w:val="es"/>
      </w:rPr>
      <w:t>Distribución limitada</w:t>
    </w:r>
    <w:r>
      <w:rPr>
        <w:rFonts w:cs="Arial"/>
        <w:szCs w:val="22"/>
        <w:lang w:val="es"/>
      </w:rPr>
      <w:tab/>
    </w:r>
    <w:r>
      <w:rPr>
        <w:rFonts w:cs="Arial"/>
        <w:b/>
        <w:bCs/>
        <w:sz w:val="36"/>
        <w:szCs w:val="36"/>
        <w:lang w:val="es"/>
      </w:rPr>
      <w:t>IOC/A-31/4.3.Doc</w:t>
    </w:r>
  </w:p>
  <w:p w14:paraId="62A2279C" w14:textId="77777777" w:rsidR="000156E0" w:rsidRPr="005E544C" w:rsidRDefault="00CB3148" w:rsidP="007D1933">
    <w:pPr>
      <w:tabs>
        <w:tab w:val="clear" w:pos="567"/>
        <w:tab w:val="left" w:pos="6663"/>
        <w:tab w:val="left" w:pos="8080"/>
      </w:tabs>
      <w:rPr>
        <w:rFonts w:cs="Arial"/>
        <w:szCs w:val="22"/>
      </w:rPr>
    </w:pPr>
    <w:r>
      <w:rPr>
        <w:rFonts w:cs="Arial"/>
        <w:szCs w:val="22"/>
        <w:lang w:val="es"/>
      </w:rPr>
      <w:tab/>
      <w:t xml:space="preserve">París, 11 de junio de 2021 </w:t>
    </w:r>
  </w:p>
  <w:p w14:paraId="01D68416" w14:textId="5467A7EC" w:rsidR="000156E0" w:rsidRPr="005E544C" w:rsidRDefault="00CB3148" w:rsidP="007D1933">
    <w:pPr>
      <w:tabs>
        <w:tab w:val="clear" w:pos="567"/>
        <w:tab w:val="left" w:pos="6663"/>
        <w:tab w:val="left" w:pos="8080"/>
      </w:tabs>
      <w:rPr>
        <w:rFonts w:cs="Arial"/>
        <w:szCs w:val="22"/>
      </w:rPr>
    </w:pPr>
    <w:r>
      <w:rPr>
        <w:rFonts w:cs="Arial"/>
        <w:szCs w:val="22"/>
        <w:lang w:val="es"/>
      </w:rPr>
      <w:tab/>
      <w:t>Original:</w:t>
    </w:r>
    <w:r>
      <w:rPr>
        <w:rFonts w:cs="Arial"/>
        <w:b/>
        <w:bCs/>
        <w:szCs w:val="22"/>
        <w:lang w:val="es"/>
      </w:rPr>
      <w:t xml:space="preserve"> </w:t>
    </w:r>
    <w:r w:rsidR="00034835">
      <w:rPr>
        <w:rFonts w:cs="Arial"/>
        <w:szCs w:val="22"/>
        <w:lang w:val="es"/>
      </w:rPr>
      <w:t>i</w:t>
    </w:r>
    <w:r>
      <w:rPr>
        <w:rFonts w:cs="Arial"/>
        <w:szCs w:val="22"/>
        <w:lang w:val="es"/>
      </w:rPr>
      <w:t xml:space="preserve">nglés </w:t>
    </w:r>
  </w:p>
  <w:p w14:paraId="1D95EF80" w14:textId="77777777" w:rsidR="000156E0" w:rsidRPr="005E544C" w:rsidRDefault="000156E0" w:rsidP="00980BE0">
    <w:pPr>
      <w:tabs>
        <w:tab w:val="left" w:pos="-1440"/>
        <w:tab w:val="left" w:pos="-720"/>
        <w:tab w:val="left" w:pos="0"/>
        <w:tab w:val="left" w:pos="720"/>
        <w:tab w:val="left" w:pos="1440"/>
        <w:tab w:val="left" w:pos="2160"/>
        <w:tab w:val="left" w:pos="2880"/>
        <w:tab w:val="left" w:pos="3600"/>
        <w:tab w:val="left" w:pos="4320"/>
        <w:tab w:val="left" w:pos="5040"/>
        <w:tab w:val="left" w:pos="5103"/>
        <w:tab w:val="left" w:pos="5760"/>
        <w:tab w:val="left" w:pos="6096"/>
        <w:tab w:val="left" w:pos="6480"/>
        <w:tab w:val="left" w:pos="6660"/>
        <w:tab w:val="left" w:pos="6804"/>
        <w:tab w:val="left" w:pos="7020"/>
        <w:tab w:val="left" w:pos="8080"/>
      </w:tabs>
      <w:rPr>
        <w:rFonts w:cs="Arial"/>
        <w:b/>
        <w:szCs w:val="22"/>
      </w:rPr>
    </w:pPr>
  </w:p>
  <w:p w14:paraId="1C11BB20" w14:textId="77777777" w:rsidR="000156E0" w:rsidRPr="005E544C" w:rsidRDefault="00CB3148" w:rsidP="000156E0">
    <w:pPr>
      <w:tabs>
        <w:tab w:val="left" w:pos="-1440"/>
        <w:tab w:val="left" w:pos="-720"/>
        <w:tab w:val="left" w:pos="0"/>
        <w:tab w:val="left" w:pos="720"/>
        <w:tab w:val="left" w:pos="1440"/>
        <w:tab w:val="left" w:pos="2160"/>
        <w:tab w:val="left" w:pos="2880"/>
        <w:tab w:val="left" w:pos="3600"/>
        <w:tab w:val="left" w:pos="4320"/>
        <w:tab w:val="left" w:pos="5040"/>
        <w:tab w:val="left" w:pos="5523"/>
        <w:tab w:val="left" w:pos="6480"/>
      </w:tabs>
      <w:rPr>
        <w:rFonts w:cs="Arial"/>
        <w:b/>
        <w:szCs w:val="22"/>
      </w:rPr>
    </w:pPr>
    <w:r>
      <w:rPr>
        <w:noProof/>
        <w:lang w:val="es"/>
      </w:rPr>
      <w:drawing>
        <wp:anchor distT="0" distB="0" distL="114300" distR="114300" simplePos="0" relativeHeight="251658240" behindDoc="1" locked="0" layoutInCell="1" allowOverlap="1" wp14:anchorId="17BFC0AF" wp14:editId="324FC75A">
          <wp:simplePos x="0" y="0"/>
          <wp:positionH relativeFrom="column">
            <wp:posOffset>-102135</wp:posOffset>
          </wp:positionH>
          <wp:positionV relativeFrom="paragraph">
            <wp:posOffset>161925</wp:posOffset>
          </wp:positionV>
          <wp:extent cx="1714500" cy="881380"/>
          <wp:effectExtent l="0" t="0" r="0" b="0"/>
          <wp:wrapSquare wrapText="bothSides"/>
          <wp:docPr id="1" name="Image 9" descr="notext-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093004" name="Image 9" descr="notext-bw"/>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714500" cy="8813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4478E3" w14:textId="77777777" w:rsidR="000156E0" w:rsidRPr="00010BBB" w:rsidRDefault="00CB3148" w:rsidP="000156E0">
    <w:pPr>
      <w:tabs>
        <w:tab w:val="left" w:pos="-1440"/>
        <w:tab w:val="left" w:pos="-720"/>
        <w:tab w:val="left" w:pos="720"/>
        <w:tab w:val="left" w:pos="2160"/>
        <w:tab w:val="left" w:pos="3600"/>
        <w:tab w:val="left" w:pos="4320"/>
        <w:tab w:val="left" w:pos="5040"/>
        <w:tab w:val="left" w:pos="5523"/>
        <w:tab w:val="left" w:pos="6480"/>
      </w:tabs>
      <w:ind w:left="2772"/>
      <w:rPr>
        <w:rFonts w:cs="Arial"/>
        <w:b/>
        <w:sz w:val="24"/>
      </w:rPr>
    </w:pPr>
    <w:r>
      <w:rPr>
        <w:rFonts w:cs="Arial"/>
        <w:b/>
        <w:bCs/>
        <w:sz w:val="24"/>
        <w:lang w:val="es"/>
      </w:rPr>
      <w:t>COMISIÓN OCEANOGRÁFICA INTERGUBERNAMENTAL</w:t>
    </w:r>
  </w:p>
  <w:p w14:paraId="30DE9A7F" w14:textId="77777777" w:rsidR="000156E0" w:rsidRPr="003561BE" w:rsidRDefault="00CB3148" w:rsidP="000156E0">
    <w:pPr>
      <w:tabs>
        <w:tab w:val="left" w:pos="-1440"/>
        <w:tab w:val="left" w:pos="-720"/>
        <w:tab w:val="left" w:pos="720"/>
        <w:tab w:val="left" w:pos="2160"/>
        <w:tab w:val="left" w:pos="3600"/>
        <w:tab w:val="left" w:pos="4320"/>
        <w:tab w:val="left" w:pos="5040"/>
        <w:tab w:val="left" w:pos="5523"/>
        <w:tab w:val="left" w:pos="6480"/>
      </w:tabs>
      <w:ind w:left="2772"/>
      <w:rPr>
        <w:rFonts w:cs="Arial"/>
        <w:b/>
        <w:bCs/>
        <w:sz w:val="24"/>
      </w:rPr>
    </w:pPr>
    <w:r>
      <w:rPr>
        <w:rFonts w:cs="Arial"/>
        <w:b/>
        <w:bCs/>
        <w:sz w:val="24"/>
        <w:lang w:val="es"/>
      </w:rPr>
      <w:t>(de la UNESCO)</w:t>
    </w:r>
  </w:p>
  <w:p w14:paraId="66D9C1B1" w14:textId="77777777" w:rsidR="000156E0" w:rsidRPr="005E544C" w:rsidRDefault="000156E0" w:rsidP="000156E0">
    <w:pPr>
      <w:tabs>
        <w:tab w:val="left" w:pos="-1440"/>
        <w:tab w:val="left" w:pos="-720"/>
        <w:tab w:val="left" w:pos="0"/>
        <w:tab w:val="left" w:pos="720"/>
        <w:tab w:val="left" w:pos="1440"/>
        <w:tab w:val="left" w:pos="2160"/>
        <w:tab w:val="left" w:pos="2880"/>
        <w:tab w:val="left" w:pos="3600"/>
        <w:tab w:val="left" w:pos="4320"/>
        <w:tab w:val="left" w:pos="5040"/>
        <w:tab w:val="left" w:pos="5523"/>
        <w:tab w:val="left" w:pos="6480"/>
      </w:tabs>
      <w:ind w:left="2772"/>
      <w:rPr>
        <w:rFonts w:cs="Arial"/>
        <w:b/>
        <w:szCs w:val="22"/>
      </w:rPr>
    </w:pPr>
  </w:p>
  <w:p w14:paraId="4AE88F0C" w14:textId="77777777" w:rsidR="000156E0" w:rsidRPr="00010BBB" w:rsidRDefault="000156E0" w:rsidP="000156E0">
    <w:pPr>
      <w:tabs>
        <w:tab w:val="left" w:pos="-1440"/>
        <w:tab w:val="left" w:pos="-720"/>
        <w:tab w:val="left" w:pos="720"/>
        <w:tab w:val="left" w:pos="1440"/>
        <w:tab w:val="left" w:pos="2160"/>
        <w:tab w:val="left" w:pos="2880"/>
        <w:tab w:val="left" w:pos="3600"/>
        <w:tab w:val="left" w:pos="4320"/>
        <w:tab w:val="left" w:pos="5040"/>
        <w:tab w:val="left" w:pos="5523"/>
        <w:tab w:val="left" w:pos="6480"/>
      </w:tabs>
      <w:ind w:left="2772"/>
      <w:rPr>
        <w:rFonts w:cs="Arial"/>
        <w:b/>
        <w:sz w:val="24"/>
      </w:rPr>
    </w:pPr>
  </w:p>
  <w:p w14:paraId="56C4A0D7" w14:textId="77777777" w:rsidR="000156E0" w:rsidRPr="00BF254D" w:rsidRDefault="00CB3148" w:rsidP="000156E0">
    <w:pPr>
      <w:tabs>
        <w:tab w:val="left" w:pos="-1440"/>
        <w:tab w:val="left" w:pos="-720"/>
        <w:tab w:val="left" w:pos="720"/>
        <w:tab w:val="left" w:pos="1420"/>
        <w:tab w:val="left" w:pos="2160"/>
        <w:tab w:val="left" w:pos="3600"/>
        <w:tab w:val="left" w:pos="4320"/>
        <w:tab w:val="center" w:pos="4677"/>
        <w:tab w:val="left" w:pos="5040"/>
        <w:tab w:val="left" w:pos="5523"/>
        <w:tab w:val="left" w:pos="6480"/>
      </w:tabs>
      <w:ind w:left="2772"/>
      <w:rPr>
        <w:rFonts w:cs="Arial"/>
        <w:b/>
      </w:rPr>
    </w:pPr>
    <w:r>
      <w:rPr>
        <w:rFonts w:cs="Arial"/>
        <w:b/>
        <w:bCs/>
        <w:lang w:val="es"/>
      </w:rPr>
      <w:t>31.ª reunión de la Asamblea</w:t>
    </w:r>
  </w:p>
  <w:p w14:paraId="505B3E02" w14:textId="77777777" w:rsidR="000156E0" w:rsidRDefault="00CB3148" w:rsidP="000156E0">
    <w:pPr>
      <w:tabs>
        <w:tab w:val="left" w:pos="-1440"/>
        <w:tab w:val="left" w:pos="-720"/>
        <w:tab w:val="left" w:pos="720"/>
        <w:tab w:val="left" w:pos="1440"/>
        <w:tab w:val="left" w:pos="2160"/>
        <w:tab w:val="left" w:pos="2880"/>
        <w:tab w:val="left" w:pos="3600"/>
        <w:tab w:val="left" w:pos="4320"/>
        <w:tab w:val="left" w:pos="5040"/>
        <w:tab w:val="left" w:pos="5523"/>
        <w:tab w:val="left" w:pos="6480"/>
      </w:tabs>
      <w:ind w:left="2772"/>
      <w:rPr>
        <w:rFonts w:cs="Arial"/>
        <w:bCs/>
      </w:rPr>
    </w:pPr>
    <w:r>
      <w:rPr>
        <w:rFonts w:cs="Arial"/>
        <w:lang w:val="es"/>
      </w:rPr>
      <w:t>UNESCO, 14-25 de junio de 2021 (en línea)</w:t>
    </w:r>
  </w:p>
  <w:p w14:paraId="5766ADC3" w14:textId="77777777" w:rsidR="000156E0" w:rsidRPr="005E544C" w:rsidRDefault="000156E0" w:rsidP="000156E0">
    <w:pPr>
      <w:tabs>
        <w:tab w:val="left" w:pos="-1440"/>
        <w:tab w:val="left" w:pos="-720"/>
        <w:tab w:val="left" w:pos="720"/>
        <w:tab w:val="left" w:pos="1440"/>
        <w:tab w:val="left" w:pos="2160"/>
        <w:tab w:val="left" w:pos="3600"/>
        <w:tab w:val="left" w:pos="4320"/>
        <w:tab w:val="left" w:pos="5040"/>
        <w:tab w:val="left" w:pos="5523"/>
        <w:tab w:val="left" w:pos="6480"/>
      </w:tabs>
      <w:ind w:left="2772"/>
      <w:rPr>
        <w:rFonts w:cs="Arial"/>
        <w:bCs/>
        <w:szCs w:val="22"/>
      </w:rPr>
    </w:pPr>
  </w:p>
  <w:p w14:paraId="19250648" w14:textId="77777777" w:rsidR="000156E0" w:rsidRPr="005E544C" w:rsidRDefault="000156E0" w:rsidP="000156E0">
    <w:pPr>
      <w:jc w:val="center"/>
      <w:rPr>
        <w:rFonts w:cs="Arial"/>
        <w:szCs w:val="22"/>
      </w:rPr>
    </w:pPr>
  </w:p>
  <w:p w14:paraId="3C6EB5F9" w14:textId="77777777" w:rsidR="000156E0" w:rsidRDefault="000156E0" w:rsidP="000156E0">
    <w:pPr>
      <w:jc w:val="center"/>
      <w:rPr>
        <w:rFonts w:cs="Arial"/>
        <w:szCs w:val="22"/>
      </w:rPr>
    </w:pPr>
  </w:p>
  <w:p w14:paraId="7E47E5AC" w14:textId="77777777" w:rsidR="000156E0" w:rsidRDefault="000156E0" w:rsidP="000156E0">
    <w:pPr>
      <w:jc w:val="center"/>
      <w:rPr>
        <w:rFonts w:cs="Arial"/>
        <w:szCs w:val="22"/>
      </w:rPr>
    </w:pPr>
  </w:p>
  <w:p w14:paraId="2742FDFC" w14:textId="77777777" w:rsidR="000156E0" w:rsidRDefault="000156E0" w:rsidP="000156E0">
    <w:pPr>
      <w:jc w:val="center"/>
      <w:rPr>
        <w:rFonts w:cs="Arial"/>
        <w:szCs w:val="22"/>
      </w:rPr>
    </w:pPr>
  </w:p>
  <w:p w14:paraId="501661D2" w14:textId="77777777" w:rsidR="000156E0" w:rsidRPr="005E544C" w:rsidRDefault="000156E0" w:rsidP="000156E0">
    <w:pPr>
      <w:jc w:val="center"/>
      <w:rPr>
        <w:rFonts w:cs="Arial"/>
        <w:szCs w:val="22"/>
      </w:rPr>
    </w:pPr>
  </w:p>
  <w:p w14:paraId="05B394C0" w14:textId="77777777" w:rsidR="000156E0" w:rsidRPr="005E544C" w:rsidRDefault="000156E0" w:rsidP="000156E0">
    <w:pPr>
      <w:jc w:val="center"/>
      <w:rPr>
        <w:rFonts w:cs="Arial"/>
        <w:szCs w:val="22"/>
      </w:rPr>
    </w:pPr>
  </w:p>
  <w:p w14:paraId="555E4CF6" w14:textId="77777777" w:rsidR="000156E0" w:rsidRPr="008D2398" w:rsidRDefault="00CB3148" w:rsidP="001370E4">
    <w:pPr>
      <w:pStyle w:val="Heading7"/>
      <w:tabs>
        <w:tab w:val="left" w:pos="6915"/>
      </w:tabs>
      <w:spacing w:line="240" w:lineRule="auto"/>
      <w:rPr>
        <w:rFonts w:cs="Arial"/>
        <w:sz w:val="24"/>
        <w:u w:val="none"/>
      </w:rPr>
    </w:pPr>
    <w:r>
      <w:rPr>
        <w:rFonts w:cs="Arial"/>
        <w:sz w:val="24"/>
        <w:lang w:val="es"/>
      </w:rPr>
      <w:t xml:space="preserve">Punto </w:t>
    </w:r>
    <w:r>
      <w:rPr>
        <w:rFonts w:cs="Arial"/>
        <w:b/>
        <w:bCs/>
        <w:sz w:val="24"/>
        <w:lang w:val="es"/>
      </w:rPr>
      <w:t>4.3</w:t>
    </w:r>
    <w:r>
      <w:rPr>
        <w:rFonts w:cs="Arial"/>
        <w:sz w:val="24"/>
        <w:lang w:val="es"/>
      </w:rPr>
      <w:t xml:space="preserve"> del orden del día provisional</w:t>
    </w:r>
  </w:p>
  <w:p w14:paraId="1DBB5096" w14:textId="77777777" w:rsidR="000156E0" w:rsidRPr="005E544C" w:rsidRDefault="000156E0" w:rsidP="000156E0">
    <w:pPr>
      <w:rPr>
        <w:rFonts w:cs="Arial"/>
        <w:szCs w:val="22"/>
      </w:rPr>
    </w:pPr>
  </w:p>
  <w:p w14:paraId="360F4E74" w14:textId="77777777" w:rsidR="00441140" w:rsidRPr="005E544C" w:rsidRDefault="00441140" w:rsidP="00DF2FB9">
    <w:pPr>
      <w:rPr>
        <w:rFonts w:cs="Arial"/>
        <w:szCs w:val="22"/>
      </w:rPr>
    </w:pPr>
  </w:p>
  <w:p w14:paraId="04418851" w14:textId="77777777" w:rsidR="00980BE0" w:rsidRPr="007D1933" w:rsidRDefault="00CB3148" w:rsidP="00515584">
    <w:pPr>
      <w:pStyle w:val="Docheading"/>
      <w:spacing w:after="0"/>
    </w:pPr>
    <w:r>
      <w:rPr>
        <w:lang w:val="es"/>
      </w:rPr>
      <w:t>Informe del PRESIDENTE</w:t>
    </w:r>
  </w:p>
  <w:p w14:paraId="61174C89" w14:textId="77777777" w:rsidR="00441140" w:rsidRPr="007D1933" w:rsidRDefault="00CB3148" w:rsidP="00515584">
    <w:pPr>
      <w:pStyle w:val="Docheading"/>
      <w:spacing w:after="0"/>
    </w:pPr>
    <w:r>
      <w:rPr>
        <w:lang w:val="es"/>
      </w:rPr>
      <w:t xml:space="preserve"> DEL GRUPO ASESOR SOBRE FINANZAS PARA EL PERÍODO ENTRE REUNIONES </w:t>
    </w:r>
    <w:r>
      <w:rPr>
        <w:b w:val="0"/>
        <w:bCs w:val="0"/>
        <w:lang w:val="es"/>
      </w:rPr>
      <w:br/>
    </w:r>
  </w:p>
  <w:p w14:paraId="55E01E0D" w14:textId="77777777" w:rsidR="00441140" w:rsidRPr="00515584" w:rsidRDefault="00441140" w:rsidP="00DF2FB9">
    <w:pPr>
      <w:pStyle w:val="Header"/>
      <w:rPr>
        <w:rFonts w:cs="Arial"/>
        <w:b/>
        <w:szCs w:val="22"/>
      </w:rPr>
    </w:pPr>
  </w:p>
  <w:p w14:paraId="11EDC359" w14:textId="77777777" w:rsidR="00441140" w:rsidRPr="005E544C" w:rsidRDefault="00441140">
    <w:pPr>
      <w:pStyle w:val="Header"/>
      <w:rPr>
        <w:rFonts w:cs="Arial"/>
        <w:szCs w:val="2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F778EA" w14:textId="77777777" w:rsidR="00441140" w:rsidRPr="006842FA" w:rsidRDefault="00CB3148" w:rsidP="00746B89">
    <w:pPr>
      <w:pStyle w:val="Header"/>
      <w:tabs>
        <w:tab w:val="clear" w:pos="8306"/>
      </w:tabs>
      <w:rPr>
        <w:rFonts w:cs="Arial"/>
        <w:sz w:val="20"/>
        <w:szCs w:val="20"/>
      </w:rPr>
    </w:pPr>
    <w:r>
      <w:rPr>
        <w:rFonts w:cs="Arial"/>
        <w:sz w:val="20"/>
        <w:szCs w:val="20"/>
        <w:lang w:val="es"/>
      </w:rPr>
      <w:t>IOC/A-31/4.3.Doc</w:t>
    </w:r>
  </w:p>
  <w:p w14:paraId="4CE68F5C" w14:textId="77777777" w:rsidR="00441140" w:rsidRPr="006842FA" w:rsidRDefault="00CB3148" w:rsidP="00746B89">
    <w:pPr>
      <w:pStyle w:val="Header"/>
      <w:tabs>
        <w:tab w:val="clear" w:pos="8306"/>
      </w:tabs>
      <w:rPr>
        <w:rFonts w:cs="Arial"/>
        <w:sz w:val="20"/>
        <w:szCs w:val="20"/>
      </w:rPr>
    </w:pPr>
    <w:r>
      <w:rPr>
        <w:rFonts w:cs="Arial"/>
        <w:sz w:val="20"/>
        <w:szCs w:val="20"/>
        <w:lang w:val="es"/>
      </w:rPr>
      <w:t xml:space="preserve">página </w:t>
    </w:r>
    <w:r>
      <w:rPr>
        <w:rStyle w:val="PageNumber"/>
        <w:rFonts w:cs="Arial"/>
        <w:sz w:val="20"/>
        <w:szCs w:val="20"/>
        <w:lang w:val="es"/>
      </w:rPr>
      <w:fldChar w:fldCharType="begin"/>
    </w:r>
    <w:r>
      <w:rPr>
        <w:rStyle w:val="PageNumber"/>
        <w:rFonts w:cs="Arial"/>
        <w:sz w:val="20"/>
        <w:szCs w:val="20"/>
        <w:lang w:val="es"/>
      </w:rPr>
      <w:instrText xml:space="preserve"> PAGE </w:instrText>
    </w:r>
    <w:r>
      <w:rPr>
        <w:rStyle w:val="PageNumber"/>
        <w:rFonts w:cs="Arial"/>
        <w:sz w:val="20"/>
        <w:szCs w:val="20"/>
        <w:lang w:val="es"/>
      </w:rPr>
      <w:fldChar w:fldCharType="separate"/>
    </w:r>
    <w:r>
      <w:rPr>
        <w:rStyle w:val="PageNumber"/>
        <w:rFonts w:cs="Arial"/>
        <w:noProof/>
        <w:sz w:val="20"/>
        <w:szCs w:val="20"/>
        <w:lang w:val="es"/>
      </w:rPr>
      <w:t>2</w:t>
    </w:r>
    <w:r>
      <w:rPr>
        <w:rStyle w:val="PageNumber"/>
        <w:rFonts w:cs="Arial"/>
        <w:sz w:val="20"/>
        <w:szCs w:val="20"/>
        <w:lang w:val="es"/>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4191FF" w14:textId="77777777" w:rsidR="0037249C" w:rsidRPr="006842FA" w:rsidRDefault="00CB3148" w:rsidP="00980BE0">
    <w:pPr>
      <w:pStyle w:val="Header"/>
      <w:tabs>
        <w:tab w:val="clear" w:pos="8306"/>
      </w:tabs>
      <w:ind w:firstLine="7797"/>
      <w:rPr>
        <w:rFonts w:cs="Arial"/>
        <w:sz w:val="20"/>
        <w:szCs w:val="20"/>
      </w:rPr>
    </w:pPr>
    <w:r>
      <w:rPr>
        <w:rFonts w:cs="Arial"/>
        <w:sz w:val="20"/>
        <w:szCs w:val="20"/>
        <w:lang w:val="es"/>
      </w:rPr>
      <w:t>IOC/A-31/4.3.Doc</w:t>
    </w:r>
  </w:p>
  <w:p w14:paraId="188AA3B4" w14:textId="77777777" w:rsidR="0037249C" w:rsidRPr="006842FA" w:rsidRDefault="00CB3148" w:rsidP="00980BE0">
    <w:pPr>
      <w:pStyle w:val="Header"/>
      <w:tabs>
        <w:tab w:val="clear" w:pos="8306"/>
      </w:tabs>
      <w:ind w:firstLine="7797"/>
      <w:rPr>
        <w:rFonts w:cs="Arial"/>
        <w:sz w:val="20"/>
        <w:szCs w:val="20"/>
      </w:rPr>
    </w:pPr>
    <w:r>
      <w:rPr>
        <w:rFonts w:cs="Arial"/>
        <w:sz w:val="20"/>
        <w:szCs w:val="20"/>
        <w:lang w:val="es"/>
      </w:rPr>
      <w:t>página </w:t>
    </w:r>
    <w:r>
      <w:rPr>
        <w:rStyle w:val="PageNumber"/>
        <w:rFonts w:cs="Arial"/>
        <w:sz w:val="20"/>
        <w:szCs w:val="20"/>
        <w:lang w:val="es"/>
      </w:rPr>
      <w:fldChar w:fldCharType="begin"/>
    </w:r>
    <w:r>
      <w:rPr>
        <w:rStyle w:val="PageNumber"/>
        <w:rFonts w:cs="Arial"/>
        <w:sz w:val="20"/>
        <w:szCs w:val="20"/>
        <w:lang w:val="es"/>
      </w:rPr>
      <w:instrText xml:space="preserve"> PAGE </w:instrText>
    </w:r>
    <w:r>
      <w:rPr>
        <w:rStyle w:val="PageNumber"/>
        <w:rFonts w:cs="Arial"/>
        <w:sz w:val="20"/>
        <w:szCs w:val="20"/>
        <w:lang w:val="es"/>
      </w:rPr>
      <w:fldChar w:fldCharType="separate"/>
    </w:r>
    <w:r>
      <w:rPr>
        <w:rStyle w:val="PageNumber"/>
        <w:rFonts w:cs="Arial"/>
        <w:noProof/>
        <w:sz w:val="20"/>
        <w:szCs w:val="20"/>
        <w:lang w:val="es"/>
      </w:rPr>
      <w:t>5</w:t>
    </w:r>
    <w:r>
      <w:rPr>
        <w:rStyle w:val="PageNumber"/>
        <w:rFonts w:cs="Arial"/>
        <w:sz w:val="20"/>
        <w:szCs w:val="20"/>
        <w:lang w:val="es"/>
      </w:rPr>
      <w:fldChar w:fldCharType="end"/>
    </w:r>
  </w:p>
  <w:p w14:paraId="19B6EF7C" w14:textId="77777777" w:rsidR="00441140" w:rsidRPr="00424DE6" w:rsidRDefault="00441140" w:rsidP="00637672">
    <w:pPr>
      <w:pStyle w:val="Header"/>
      <w:ind w:left="8364"/>
      <w:rPr>
        <w:rFonts w:cs="Arial"/>
        <w:szCs w:val="2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EC793C" w14:textId="77777777" w:rsidR="00441140" w:rsidRDefault="00CB3148" w:rsidP="00980BE0">
    <w:pPr>
      <w:pStyle w:val="Header"/>
      <w:tabs>
        <w:tab w:val="clear" w:pos="8306"/>
      </w:tabs>
      <w:ind w:right="400"/>
      <w:jc w:val="right"/>
      <w:rPr>
        <w:rFonts w:cs="Arial"/>
        <w:sz w:val="20"/>
        <w:szCs w:val="20"/>
      </w:rPr>
    </w:pPr>
    <w:r>
      <w:rPr>
        <w:rFonts w:cs="Arial"/>
        <w:sz w:val="20"/>
        <w:szCs w:val="20"/>
        <w:lang w:val="es"/>
      </w:rPr>
      <w:t>IOC/A-31/4.3.Doc</w:t>
    </w:r>
  </w:p>
  <w:p w14:paraId="6FF3AE5D" w14:textId="77777777" w:rsidR="00307660" w:rsidRPr="006842FA" w:rsidRDefault="00CB3148" w:rsidP="00980BE0">
    <w:pPr>
      <w:pStyle w:val="Header"/>
      <w:ind w:left="7655"/>
      <w:rPr>
        <w:rFonts w:cs="Arial"/>
        <w:sz w:val="20"/>
        <w:szCs w:val="20"/>
      </w:rPr>
    </w:pPr>
    <w:r>
      <w:rPr>
        <w:rFonts w:cs="Arial"/>
        <w:sz w:val="20"/>
        <w:szCs w:val="20"/>
        <w:lang w:val="es"/>
      </w:rPr>
      <w:t>página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007E48FC"/>
    <w:lvl w:ilvl="0">
      <w:start w:val="1"/>
      <w:numFmt w:val="lowerRoman"/>
      <w:pStyle w:val="Listnumbered"/>
      <w:lvlText w:val="(%1)"/>
      <w:lvlJc w:val="left"/>
      <w:pPr>
        <w:tabs>
          <w:tab w:val="num" w:pos="1021"/>
        </w:tabs>
        <w:ind w:left="1021" w:hanging="454"/>
      </w:pPr>
      <w:rPr>
        <w:rFonts w:hint="default"/>
      </w:rPr>
    </w:lvl>
  </w:abstractNum>
  <w:abstractNum w:abstractNumId="1" w15:restartNumberingAfterBreak="0">
    <w:nsid w:val="033D5A33"/>
    <w:multiLevelType w:val="hybridMultilevel"/>
    <w:tmpl w:val="F2F2E444"/>
    <w:lvl w:ilvl="0" w:tplc="3BB4E6BE">
      <w:start w:val="1"/>
      <w:numFmt w:val="upperRoman"/>
      <w:lvlText w:val="%1."/>
      <w:lvlJc w:val="left"/>
      <w:pPr>
        <w:ind w:left="1080" w:hanging="720"/>
      </w:pPr>
      <w:rPr>
        <w:rFonts w:hint="default"/>
        <w:i w:val="0"/>
        <w:iCs/>
      </w:rPr>
    </w:lvl>
    <w:lvl w:ilvl="1" w:tplc="A9D85C56" w:tentative="1">
      <w:start w:val="1"/>
      <w:numFmt w:val="lowerLetter"/>
      <w:lvlText w:val="%2."/>
      <w:lvlJc w:val="left"/>
      <w:pPr>
        <w:ind w:left="1440" w:hanging="360"/>
      </w:pPr>
    </w:lvl>
    <w:lvl w:ilvl="2" w:tplc="BA501C80" w:tentative="1">
      <w:start w:val="1"/>
      <w:numFmt w:val="lowerRoman"/>
      <w:lvlText w:val="%3."/>
      <w:lvlJc w:val="right"/>
      <w:pPr>
        <w:ind w:left="2160" w:hanging="180"/>
      </w:pPr>
    </w:lvl>
    <w:lvl w:ilvl="3" w:tplc="CC0C6180" w:tentative="1">
      <w:start w:val="1"/>
      <w:numFmt w:val="decimal"/>
      <w:lvlText w:val="%4."/>
      <w:lvlJc w:val="left"/>
      <w:pPr>
        <w:ind w:left="2880" w:hanging="360"/>
      </w:pPr>
    </w:lvl>
    <w:lvl w:ilvl="4" w:tplc="F864A23C" w:tentative="1">
      <w:start w:val="1"/>
      <w:numFmt w:val="lowerLetter"/>
      <w:lvlText w:val="%5."/>
      <w:lvlJc w:val="left"/>
      <w:pPr>
        <w:ind w:left="3600" w:hanging="360"/>
      </w:pPr>
    </w:lvl>
    <w:lvl w:ilvl="5" w:tplc="7BA6F9CA" w:tentative="1">
      <w:start w:val="1"/>
      <w:numFmt w:val="lowerRoman"/>
      <w:lvlText w:val="%6."/>
      <w:lvlJc w:val="right"/>
      <w:pPr>
        <w:ind w:left="4320" w:hanging="180"/>
      </w:pPr>
    </w:lvl>
    <w:lvl w:ilvl="6" w:tplc="48E0386C" w:tentative="1">
      <w:start w:val="1"/>
      <w:numFmt w:val="decimal"/>
      <w:lvlText w:val="%7."/>
      <w:lvlJc w:val="left"/>
      <w:pPr>
        <w:ind w:left="5040" w:hanging="360"/>
      </w:pPr>
    </w:lvl>
    <w:lvl w:ilvl="7" w:tplc="D534BEA2" w:tentative="1">
      <w:start w:val="1"/>
      <w:numFmt w:val="lowerLetter"/>
      <w:lvlText w:val="%8."/>
      <w:lvlJc w:val="left"/>
      <w:pPr>
        <w:ind w:left="5760" w:hanging="360"/>
      </w:pPr>
    </w:lvl>
    <w:lvl w:ilvl="8" w:tplc="CEC0492A" w:tentative="1">
      <w:start w:val="1"/>
      <w:numFmt w:val="lowerRoman"/>
      <w:lvlText w:val="%9."/>
      <w:lvlJc w:val="right"/>
      <w:pPr>
        <w:ind w:left="6480" w:hanging="180"/>
      </w:pPr>
    </w:lvl>
  </w:abstractNum>
  <w:abstractNum w:abstractNumId="2" w15:restartNumberingAfterBreak="0">
    <w:nsid w:val="040B4842"/>
    <w:multiLevelType w:val="multilevel"/>
    <w:tmpl w:val="8370C8F0"/>
    <w:lvl w:ilvl="0">
      <w:start w:val="1"/>
      <w:numFmt w:val="decimal"/>
      <w:lvlText w:val="%1."/>
      <w:lvlJc w:val="left"/>
      <w:pPr>
        <w:tabs>
          <w:tab w:val="num" w:pos="720"/>
        </w:tabs>
        <w:ind w:left="720" w:hanging="360"/>
      </w:pPr>
    </w:lvl>
    <w:lvl w:ilvl="1">
      <w:start w:val="1"/>
      <w:numFmt w:val="lowerRoman"/>
      <w:lvlText w:val="(%2)"/>
      <w:lvlJc w:val="left"/>
      <w:pPr>
        <w:ind w:left="1440" w:hanging="360"/>
      </w:pPr>
      <w:rPr>
        <w:rFonts w:hint="default"/>
        <w:b w:val="0"/>
        <w:i w:val="0"/>
        <w:u w:val="none"/>
      </w:rPr>
    </w:lvl>
    <w:lvl w:ilvl="2">
      <w:start w:val="1"/>
      <w:numFmt w:val="upperRoman"/>
      <w:lvlText w:val="%3."/>
      <w:lvlJc w:val="left"/>
      <w:pPr>
        <w:ind w:left="2790" w:hanging="72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F263AC"/>
    <w:multiLevelType w:val="hybridMultilevel"/>
    <w:tmpl w:val="2506A2EE"/>
    <w:lvl w:ilvl="0" w:tplc="654A2080">
      <w:start w:val="1"/>
      <w:numFmt w:val="bullet"/>
      <w:pStyle w:val="ListBullet2"/>
      <w:lvlText w:val=""/>
      <w:lvlJc w:val="left"/>
      <w:pPr>
        <w:tabs>
          <w:tab w:val="num" w:pos="851"/>
        </w:tabs>
        <w:ind w:left="851" w:hanging="284"/>
      </w:pPr>
      <w:rPr>
        <w:rFonts w:ascii="Symbol" w:hAnsi="Symbol" w:hint="default"/>
      </w:rPr>
    </w:lvl>
    <w:lvl w:ilvl="1" w:tplc="1A521C3C" w:tentative="1">
      <w:start w:val="1"/>
      <w:numFmt w:val="bullet"/>
      <w:lvlText w:val="o"/>
      <w:lvlJc w:val="left"/>
      <w:pPr>
        <w:tabs>
          <w:tab w:val="num" w:pos="1440"/>
        </w:tabs>
        <w:ind w:left="1440" w:hanging="360"/>
      </w:pPr>
      <w:rPr>
        <w:rFonts w:ascii="Courier New" w:hAnsi="Courier New" w:cs="Courier New" w:hint="default"/>
      </w:rPr>
    </w:lvl>
    <w:lvl w:ilvl="2" w:tplc="7E12E19C" w:tentative="1">
      <w:start w:val="1"/>
      <w:numFmt w:val="bullet"/>
      <w:lvlText w:val=""/>
      <w:lvlJc w:val="left"/>
      <w:pPr>
        <w:tabs>
          <w:tab w:val="num" w:pos="2160"/>
        </w:tabs>
        <w:ind w:left="2160" w:hanging="360"/>
      </w:pPr>
      <w:rPr>
        <w:rFonts w:ascii="Wingdings" w:hAnsi="Wingdings" w:hint="default"/>
      </w:rPr>
    </w:lvl>
    <w:lvl w:ilvl="3" w:tplc="C0E22BA6" w:tentative="1">
      <w:start w:val="1"/>
      <w:numFmt w:val="bullet"/>
      <w:lvlText w:val=""/>
      <w:lvlJc w:val="left"/>
      <w:pPr>
        <w:tabs>
          <w:tab w:val="num" w:pos="2880"/>
        </w:tabs>
        <w:ind w:left="2880" w:hanging="360"/>
      </w:pPr>
      <w:rPr>
        <w:rFonts w:ascii="Symbol" w:hAnsi="Symbol" w:hint="default"/>
      </w:rPr>
    </w:lvl>
    <w:lvl w:ilvl="4" w:tplc="FA18EDB0" w:tentative="1">
      <w:start w:val="1"/>
      <w:numFmt w:val="bullet"/>
      <w:lvlText w:val="o"/>
      <w:lvlJc w:val="left"/>
      <w:pPr>
        <w:tabs>
          <w:tab w:val="num" w:pos="3600"/>
        </w:tabs>
        <w:ind w:left="3600" w:hanging="360"/>
      </w:pPr>
      <w:rPr>
        <w:rFonts w:ascii="Courier New" w:hAnsi="Courier New" w:cs="Courier New" w:hint="default"/>
      </w:rPr>
    </w:lvl>
    <w:lvl w:ilvl="5" w:tplc="268C2D84" w:tentative="1">
      <w:start w:val="1"/>
      <w:numFmt w:val="bullet"/>
      <w:lvlText w:val=""/>
      <w:lvlJc w:val="left"/>
      <w:pPr>
        <w:tabs>
          <w:tab w:val="num" w:pos="4320"/>
        </w:tabs>
        <w:ind w:left="4320" w:hanging="360"/>
      </w:pPr>
      <w:rPr>
        <w:rFonts w:ascii="Wingdings" w:hAnsi="Wingdings" w:hint="default"/>
      </w:rPr>
    </w:lvl>
    <w:lvl w:ilvl="6" w:tplc="6B6C79EC" w:tentative="1">
      <w:start w:val="1"/>
      <w:numFmt w:val="bullet"/>
      <w:lvlText w:val=""/>
      <w:lvlJc w:val="left"/>
      <w:pPr>
        <w:tabs>
          <w:tab w:val="num" w:pos="5040"/>
        </w:tabs>
        <w:ind w:left="5040" w:hanging="360"/>
      </w:pPr>
      <w:rPr>
        <w:rFonts w:ascii="Symbol" w:hAnsi="Symbol" w:hint="default"/>
      </w:rPr>
    </w:lvl>
    <w:lvl w:ilvl="7" w:tplc="DE2E3ADE" w:tentative="1">
      <w:start w:val="1"/>
      <w:numFmt w:val="bullet"/>
      <w:lvlText w:val="o"/>
      <w:lvlJc w:val="left"/>
      <w:pPr>
        <w:tabs>
          <w:tab w:val="num" w:pos="5760"/>
        </w:tabs>
        <w:ind w:left="5760" w:hanging="360"/>
      </w:pPr>
      <w:rPr>
        <w:rFonts w:ascii="Courier New" w:hAnsi="Courier New" w:cs="Courier New" w:hint="default"/>
      </w:rPr>
    </w:lvl>
    <w:lvl w:ilvl="8" w:tplc="EA4877F4"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F52973"/>
    <w:multiLevelType w:val="hybridMultilevel"/>
    <w:tmpl w:val="B5FC1906"/>
    <w:lvl w:ilvl="0" w:tplc="91A62E62">
      <w:numFmt w:val="bullet"/>
      <w:lvlText w:val="-"/>
      <w:lvlJc w:val="left"/>
      <w:pPr>
        <w:ind w:left="720" w:hanging="360"/>
      </w:pPr>
      <w:rPr>
        <w:rFonts w:ascii="Arial" w:eastAsia="Arial Unicode MS" w:hAnsi="Arial" w:cs="Arial" w:hint="default"/>
      </w:rPr>
    </w:lvl>
    <w:lvl w:ilvl="1" w:tplc="DA0450BC" w:tentative="1">
      <w:start w:val="1"/>
      <w:numFmt w:val="bullet"/>
      <w:lvlText w:val="o"/>
      <w:lvlJc w:val="left"/>
      <w:pPr>
        <w:ind w:left="1440" w:hanging="360"/>
      </w:pPr>
      <w:rPr>
        <w:rFonts w:ascii="Courier New" w:hAnsi="Courier New" w:cs="Courier New" w:hint="default"/>
      </w:rPr>
    </w:lvl>
    <w:lvl w:ilvl="2" w:tplc="D59661BA" w:tentative="1">
      <w:start w:val="1"/>
      <w:numFmt w:val="bullet"/>
      <w:lvlText w:val=""/>
      <w:lvlJc w:val="left"/>
      <w:pPr>
        <w:ind w:left="2160" w:hanging="360"/>
      </w:pPr>
      <w:rPr>
        <w:rFonts w:ascii="Wingdings" w:hAnsi="Wingdings" w:hint="default"/>
      </w:rPr>
    </w:lvl>
    <w:lvl w:ilvl="3" w:tplc="A508C1B4" w:tentative="1">
      <w:start w:val="1"/>
      <w:numFmt w:val="bullet"/>
      <w:lvlText w:val=""/>
      <w:lvlJc w:val="left"/>
      <w:pPr>
        <w:ind w:left="2880" w:hanging="360"/>
      </w:pPr>
      <w:rPr>
        <w:rFonts w:ascii="Symbol" w:hAnsi="Symbol" w:hint="default"/>
      </w:rPr>
    </w:lvl>
    <w:lvl w:ilvl="4" w:tplc="8CBEBD7E" w:tentative="1">
      <w:start w:val="1"/>
      <w:numFmt w:val="bullet"/>
      <w:lvlText w:val="o"/>
      <w:lvlJc w:val="left"/>
      <w:pPr>
        <w:ind w:left="3600" w:hanging="360"/>
      </w:pPr>
      <w:rPr>
        <w:rFonts w:ascii="Courier New" w:hAnsi="Courier New" w:cs="Courier New" w:hint="default"/>
      </w:rPr>
    </w:lvl>
    <w:lvl w:ilvl="5" w:tplc="3F04E510" w:tentative="1">
      <w:start w:val="1"/>
      <w:numFmt w:val="bullet"/>
      <w:lvlText w:val=""/>
      <w:lvlJc w:val="left"/>
      <w:pPr>
        <w:ind w:left="4320" w:hanging="360"/>
      </w:pPr>
      <w:rPr>
        <w:rFonts w:ascii="Wingdings" w:hAnsi="Wingdings" w:hint="default"/>
      </w:rPr>
    </w:lvl>
    <w:lvl w:ilvl="6" w:tplc="1DF21E46" w:tentative="1">
      <w:start w:val="1"/>
      <w:numFmt w:val="bullet"/>
      <w:lvlText w:val=""/>
      <w:lvlJc w:val="left"/>
      <w:pPr>
        <w:ind w:left="5040" w:hanging="360"/>
      </w:pPr>
      <w:rPr>
        <w:rFonts w:ascii="Symbol" w:hAnsi="Symbol" w:hint="default"/>
      </w:rPr>
    </w:lvl>
    <w:lvl w:ilvl="7" w:tplc="AAE80720" w:tentative="1">
      <w:start w:val="1"/>
      <w:numFmt w:val="bullet"/>
      <w:lvlText w:val="o"/>
      <w:lvlJc w:val="left"/>
      <w:pPr>
        <w:ind w:left="5760" w:hanging="360"/>
      </w:pPr>
      <w:rPr>
        <w:rFonts w:ascii="Courier New" w:hAnsi="Courier New" w:cs="Courier New" w:hint="default"/>
      </w:rPr>
    </w:lvl>
    <w:lvl w:ilvl="8" w:tplc="C1E049BE" w:tentative="1">
      <w:start w:val="1"/>
      <w:numFmt w:val="bullet"/>
      <w:lvlText w:val=""/>
      <w:lvlJc w:val="left"/>
      <w:pPr>
        <w:ind w:left="6480" w:hanging="360"/>
      </w:pPr>
      <w:rPr>
        <w:rFonts w:ascii="Wingdings" w:hAnsi="Wingdings" w:hint="default"/>
      </w:rPr>
    </w:lvl>
  </w:abstractNum>
  <w:abstractNum w:abstractNumId="5" w15:restartNumberingAfterBreak="0">
    <w:nsid w:val="100B1C9C"/>
    <w:multiLevelType w:val="hybridMultilevel"/>
    <w:tmpl w:val="23A85EFA"/>
    <w:lvl w:ilvl="0" w:tplc="C874BBC6">
      <w:start w:val="1"/>
      <w:numFmt w:val="bullet"/>
      <w:lvlText w:val=""/>
      <w:lvlJc w:val="left"/>
      <w:pPr>
        <w:tabs>
          <w:tab w:val="num" w:pos="360"/>
        </w:tabs>
        <w:ind w:left="284" w:hanging="284"/>
      </w:pPr>
      <w:rPr>
        <w:rFonts w:ascii="Symbol" w:hAnsi="Symbol" w:hint="default"/>
      </w:rPr>
    </w:lvl>
    <w:lvl w:ilvl="1" w:tplc="2806DB5A">
      <w:start w:val="1"/>
      <w:numFmt w:val="bullet"/>
      <w:lvlText w:val="o"/>
      <w:lvlJc w:val="left"/>
      <w:pPr>
        <w:tabs>
          <w:tab w:val="num" w:pos="1157"/>
        </w:tabs>
        <w:ind w:left="1157" w:hanging="360"/>
      </w:pPr>
      <w:rPr>
        <w:rFonts w:ascii="Courier New" w:hAnsi="Courier New" w:hint="default"/>
      </w:rPr>
    </w:lvl>
    <w:lvl w:ilvl="2" w:tplc="B8042716" w:tentative="1">
      <w:start w:val="1"/>
      <w:numFmt w:val="bullet"/>
      <w:lvlText w:val=""/>
      <w:lvlJc w:val="left"/>
      <w:pPr>
        <w:tabs>
          <w:tab w:val="num" w:pos="1877"/>
        </w:tabs>
        <w:ind w:left="1877" w:hanging="360"/>
      </w:pPr>
      <w:rPr>
        <w:rFonts w:ascii="Wingdings" w:hAnsi="Wingdings" w:hint="default"/>
      </w:rPr>
    </w:lvl>
    <w:lvl w:ilvl="3" w:tplc="EEE66F38" w:tentative="1">
      <w:start w:val="1"/>
      <w:numFmt w:val="bullet"/>
      <w:lvlText w:val=""/>
      <w:lvlJc w:val="left"/>
      <w:pPr>
        <w:tabs>
          <w:tab w:val="num" w:pos="2597"/>
        </w:tabs>
        <w:ind w:left="2597" w:hanging="360"/>
      </w:pPr>
      <w:rPr>
        <w:rFonts w:ascii="Symbol" w:hAnsi="Symbol" w:hint="default"/>
      </w:rPr>
    </w:lvl>
    <w:lvl w:ilvl="4" w:tplc="123AA78E" w:tentative="1">
      <w:start w:val="1"/>
      <w:numFmt w:val="bullet"/>
      <w:lvlText w:val="o"/>
      <w:lvlJc w:val="left"/>
      <w:pPr>
        <w:tabs>
          <w:tab w:val="num" w:pos="3317"/>
        </w:tabs>
        <w:ind w:left="3317" w:hanging="360"/>
      </w:pPr>
      <w:rPr>
        <w:rFonts w:ascii="Courier New" w:hAnsi="Courier New" w:hint="default"/>
      </w:rPr>
    </w:lvl>
    <w:lvl w:ilvl="5" w:tplc="A7888DC4" w:tentative="1">
      <w:start w:val="1"/>
      <w:numFmt w:val="bullet"/>
      <w:lvlText w:val=""/>
      <w:lvlJc w:val="left"/>
      <w:pPr>
        <w:tabs>
          <w:tab w:val="num" w:pos="4037"/>
        </w:tabs>
        <w:ind w:left="4037" w:hanging="360"/>
      </w:pPr>
      <w:rPr>
        <w:rFonts w:ascii="Wingdings" w:hAnsi="Wingdings" w:hint="default"/>
      </w:rPr>
    </w:lvl>
    <w:lvl w:ilvl="6" w:tplc="00EE0D86" w:tentative="1">
      <w:start w:val="1"/>
      <w:numFmt w:val="bullet"/>
      <w:lvlText w:val=""/>
      <w:lvlJc w:val="left"/>
      <w:pPr>
        <w:tabs>
          <w:tab w:val="num" w:pos="4757"/>
        </w:tabs>
        <w:ind w:left="4757" w:hanging="360"/>
      </w:pPr>
      <w:rPr>
        <w:rFonts w:ascii="Symbol" w:hAnsi="Symbol" w:hint="default"/>
      </w:rPr>
    </w:lvl>
    <w:lvl w:ilvl="7" w:tplc="48F654AC" w:tentative="1">
      <w:start w:val="1"/>
      <w:numFmt w:val="bullet"/>
      <w:lvlText w:val="o"/>
      <w:lvlJc w:val="left"/>
      <w:pPr>
        <w:tabs>
          <w:tab w:val="num" w:pos="5477"/>
        </w:tabs>
        <w:ind w:left="5477" w:hanging="360"/>
      </w:pPr>
      <w:rPr>
        <w:rFonts w:ascii="Courier New" w:hAnsi="Courier New" w:hint="default"/>
      </w:rPr>
    </w:lvl>
    <w:lvl w:ilvl="8" w:tplc="C5CCC71A" w:tentative="1">
      <w:start w:val="1"/>
      <w:numFmt w:val="bullet"/>
      <w:lvlText w:val=""/>
      <w:lvlJc w:val="left"/>
      <w:pPr>
        <w:tabs>
          <w:tab w:val="num" w:pos="6197"/>
        </w:tabs>
        <w:ind w:left="6197" w:hanging="360"/>
      </w:pPr>
      <w:rPr>
        <w:rFonts w:ascii="Wingdings" w:hAnsi="Wingdings" w:hint="default"/>
      </w:rPr>
    </w:lvl>
  </w:abstractNum>
  <w:abstractNum w:abstractNumId="6" w15:restartNumberingAfterBreak="0">
    <w:nsid w:val="108B5D50"/>
    <w:multiLevelType w:val="hybridMultilevel"/>
    <w:tmpl w:val="72964D36"/>
    <w:lvl w:ilvl="0" w:tplc="85741586">
      <w:start w:val="1"/>
      <w:numFmt w:val="decimal"/>
      <w:lvlText w:val="%1."/>
      <w:lvlJc w:val="left"/>
      <w:pPr>
        <w:ind w:left="720" w:hanging="360"/>
      </w:pPr>
      <w:rPr>
        <w:rFonts w:asciiTheme="minorBidi" w:hAnsiTheme="minorBidi" w:cstheme="minorBidi" w:hint="default"/>
        <w:sz w:val="22"/>
        <w:szCs w:val="22"/>
      </w:rPr>
    </w:lvl>
    <w:lvl w:ilvl="1" w:tplc="0E72A5E8" w:tentative="1">
      <w:start w:val="1"/>
      <w:numFmt w:val="lowerLetter"/>
      <w:lvlText w:val="%2."/>
      <w:lvlJc w:val="left"/>
      <w:pPr>
        <w:ind w:left="1440" w:hanging="360"/>
      </w:pPr>
    </w:lvl>
    <w:lvl w:ilvl="2" w:tplc="5B3EB4B6" w:tentative="1">
      <w:start w:val="1"/>
      <w:numFmt w:val="lowerRoman"/>
      <w:lvlText w:val="%3."/>
      <w:lvlJc w:val="right"/>
      <w:pPr>
        <w:ind w:left="2160" w:hanging="180"/>
      </w:pPr>
    </w:lvl>
    <w:lvl w:ilvl="3" w:tplc="47FCE960" w:tentative="1">
      <w:start w:val="1"/>
      <w:numFmt w:val="decimal"/>
      <w:lvlText w:val="%4."/>
      <w:lvlJc w:val="left"/>
      <w:pPr>
        <w:ind w:left="2880" w:hanging="360"/>
      </w:pPr>
    </w:lvl>
    <w:lvl w:ilvl="4" w:tplc="9D3EC834" w:tentative="1">
      <w:start w:val="1"/>
      <w:numFmt w:val="lowerLetter"/>
      <w:lvlText w:val="%5."/>
      <w:lvlJc w:val="left"/>
      <w:pPr>
        <w:ind w:left="3600" w:hanging="360"/>
      </w:pPr>
    </w:lvl>
    <w:lvl w:ilvl="5" w:tplc="0C346928" w:tentative="1">
      <w:start w:val="1"/>
      <w:numFmt w:val="lowerRoman"/>
      <w:lvlText w:val="%6."/>
      <w:lvlJc w:val="right"/>
      <w:pPr>
        <w:ind w:left="4320" w:hanging="180"/>
      </w:pPr>
    </w:lvl>
    <w:lvl w:ilvl="6" w:tplc="83CCAEF6" w:tentative="1">
      <w:start w:val="1"/>
      <w:numFmt w:val="decimal"/>
      <w:lvlText w:val="%7."/>
      <w:lvlJc w:val="left"/>
      <w:pPr>
        <w:ind w:left="5040" w:hanging="360"/>
      </w:pPr>
    </w:lvl>
    <w:lvl w:ilvl="7" w:tplc="95F4559A" w:tentative="1">
      <w:start w:val="1"/>
      <w:numFmt w:val="lowerLetter"/>
      <w:lvlText w:val="%8."/>
      <w:lvlJc w:val="left"/>
      <w:pPr>
        <w:ind w:left="5760" w:hanging="360"/>
      </w:pPr>
    </w:lvl>
    <w:lvl w:ilvl="8" w:tplc="664CD47E" w:tentative="1">
      <w:start w:val="1"/>
      <w:numFmt w:val="lowerRoman"/>
      <w:lvlText w:val="%9."/>
      <w:lvlJc w:val="right"/>
      <w:pPr>
        <w:ind w:left="6480" w:hanging="180"/>
      </w:pPr>
    </w:lvl>
  </w:abstractNum>
  <w:abstractNum w:abstractNumId="7" w15:restartNumberingAfterBreak="0">
    <w:nsid w:val="1A0E3347"/>
    <w:multiLevelType w:val="hybridMultilevel"/>
    <w:tmpl w:val="B3E02086"/>
    <w:lvl w:ilvl="0" w:tplc="0950A61A">
      <w:start w:val="1"/>
      <w:numFmt w:val="decimal"/>
      <w:lvlText w:val="%1."/>
      <w:lvlJc w:val="left"/>
      <w:pPr>
        <w:ind w:left="720" w:hanging="360"/>
      </w:pPr>
      <w:rPr>
        <w:b w:val="0"/>
        <w:bCs w:val="0"/>
      </w:rPr>
    </w:lvl>
    <w:lvl w:ilvl="1" w:tplc="A5D4317E" w:tentative="1">
      <w:start w:val="1"/>
      <w:numFmt w:val="lowerLetter"/>
      <w:lvlText w:val="%2."/>
      <w:lvlJc w:val="left"/>
      <w:pPr>
        <w:ind w:left="1440" w:hanging="360"/>
      </w:pPr>
    </w:lvl>
    <w:lvl w:ilvl="2" w:tplc="035C3080" w:tentative="1">
      <w:start w:val="1"/>
      <w:numFmt w:val="lowerRoman"/>
      <w:lvlText w:val="%3."/>
      <w:lvlJc w:val="right"/>
      <w:pPr>
        <w:ind w:left="2160" w:hanging="180"/>
      </w:pPr>
    </w:lvl>
    <w:lvl w:ilvl="3" w:tplc="26AABDB6" w:tentative="1">
      <w:start w:val="1"/>
      <w:numFmt w:val="decimal"/>
      <w:lvlText w:val="%4."/>
      <w:lvlJc w:val="left"/>
      <w:pPr>
        <w:ind w:left="2880" w:hanging="360"/>
      </w:pPr>
    </w:lvl>
    <w:lvl w:ilvl="4" w:tplc="74BCB772" w:tentative="1">
      <w:start w:val="1"/>
      <w:numFmt w:val="lowerLetter"/>
      <w:lvlText w:val="%5."/>
      <w:lvlJc w:val="left"/>
      <w:pPr>
        <w:ind w:left="3600" w:hanging="360"/>
      </w:pPr>
    </w:lvl>
    <w:lvl w:ilvl="5" w:tplc="062056B8" w:tentative="1">
      <w:start w:val="1"/>
      <w:numFmt w:val="lowerRoman"/>
      <w:lvlText w:val="%6."/>
      <w:lvlJc w:val="right"/>
      <w:pPr>
        <w:ind w:left="4320" w:hanging="180"/>
      </w:pPr>
    </w:lvl>
    <w:lvl w:ilvl="6" w:tplc="4E6E2998" w:tentative="1">
      <w:start w:val="1"/>
      <w:numFmt w:val="decimal"/>
      <w:lvlText w:val="%7."/>
      <w:lvlJc w:val="left"/>
      <w:pPr>
        <w:ind w:left="5040" w:hanging="360"/>
      </w:pPr>
    </w:lvl>
    <w:lvl w:ilvl="7" w:tplc="36085452" w:tentative="1">
      <w:start w:val="1"/>
      <w:numFmt w:val="lowerLetter"/>
      <w:lvlText w:val="%8."/>
      <w:lvlJc w:val="left"/>
      <w:pPr>
        <w:ind w:left="5760" w:hanging="360"/>
      </w:pPr>
    </w:lvl>
    <w:lvl w:ilvl="8" w:tplc="3A44C0E8" w:tentative="1">
      <w:start w:val="1"/>
      <w:numFmt w:val="lowerRoman"/>
      <w:lvlText w:val="%9."/>
      <w:lvlJc w:val="right"/>
      <w:pPr>
        <w:ind w:left="6480" w:hanging="180"/>
      </w:pPr>
    </w:lvl>
  </w:abstractNum>
  <w:abstractNum w:abstractNumId="8" w15:restartNumberingAfterBreak="0">
    <w:nsid w:val="1BC33398"/>
    <w:multiLevelType w:val="hybridMultilevel"/>
    <w:tmpl w:val="C5B4333E"/>
    <w:lvl w:ilvl="0" w:tplc="B9C41872">
      <w:start w:val="1"/>
      <w:numFmt w:val="decimal"/>
      <w:lvlText w:val="%1."/>
      <w:lvlJc w:val="left"/>
      <w:pPr>
        <w:ind w:left="720" w:hanging="360"/>
      </w:pPr>
      <w:rPr>
        <w:rFonts w:ascii="Arial" w:hAnsi="Arial" w:cs="Arial" w:hint="default"/>
        <w:b w:val="0"/>
        <w:bCs/>
        <w:i/>
        <w:sz w:val="22"/>
        <w:szCs w:val="22"/>
        <w:lang w:val="en-US"/>
      </w:rPr>
    </w:lvl>
    <w:lvl w:ilvl="1" w:tplc="1FA0B28A" w:tentative="1">
      <w:start w:val="1"/>
      <w:numFmt w:val="lowerLetter"/>
      <w:lvlText w:val="%2."/>
      <w:lvlJc w:val="left"/>
      <w:pPr>
        <w:ind w:left="1440" w:hanging="360"/>
      </w:pPr>
    </w:lvl>
    <w:lvl w:ilvl="2" w:tplc="D5C21F8C" w:tentative="1">
      <w:start w:val="1"/>
      <w:numFmt w:val="lowerRoman"/>
      <w:lvlText w:val="%3."/>
      <w:lvlJc w:val="right"/>
      <w:pPr>
        <w:ind w:left="2160" w:hanging="180"/>
      </w:pPr>
    </w:lvl>
    <w:lvl w:ilvl="3" w:tplc="C81C5874" w:tentative="1">
      <w:start w:val="1"/>
      <w:numFmt w:val="decimal"/>
      <w:lvlText w:val="%4."/>
      <w:lvlJc w:val="left"/>
      <w:pPr>
        <w:ind w:left="2880" w:hanging="360"/>
      </w:pPr>
    </w:lvl>
    <w:lvl w:ilvl="4" w:tplc="B9F0B512" w:tentative="1">
      <w:start w:val="1"/>
      <w:numFmt w:val="lowerLetter"/>
      <w:lvlText w:val="%5."/>
      <w:lvlJc w:val="left"/>
      <w:pPr>
        <w:ind w:left="3600" w:hanging="360"/>
      </w:pPr>
    </w:lvl>
    <w:lvl w:ilvl="5" w:tplc="FF10BF02" w:tentative="1">
      <w:start w:val="1"/>
      <w:numFmt w:val="lowerRoman"/>
      <w:lvlText w:val="%6."/>
      <w:lvlJc w:val="right"/>
      <w:pPr>
        <w:ind w:left="4320" w:hanging="180"/>
      </w:pPr>
    </w:lvl>
    <w:lvl w:ilvl="6" w:tplc="54F25006" w:tentative="1">
      <w:start w:val="1"/>
      <w:numFmt w:val="decimal"/>
      <w:lvlText w:val="%7."/>
      <w:lvlJc w:val="left"/>
      <w:pPr>
        <w:ind w:left="5040" w:hanging="360"/>
      </w:pPr>
    </w:lvl>
    <w:lvl w:ilvl="7" w:tplc="4DC637FA" w:tentative="1">
      <w:start w:val="1"/>
      <w:numFmt w:val="lowerLetter"/>
      <w:lvlText w:val="%8."/>
      <w:lvlJc w:val="left"/>
      <w:pPr>
        <w:ind w:left="5760" w:hanging="360"/>
      </w:pPr>
    </w:lvl>
    <w:lvl w:ilvl="8" w:tplc="C8E81B8E" w:tentative="1">
      <w:start w:val="1"/>
      <w:numFmt w:val="lowerRoman"/>
      <w:lvlText w:val="%9."/>
      <w:lvlJc w:val="right"/>
      <w:pPr>
        <w:ind w:left="6480" w:hanging="180"/>
      </w:pPr>
    </w:lvl>
  </w:abstractNum>
  <w:abstractNum w:abstractNumId="9" w15:restartNumberingAfterBreak="0">
    <w:nsid w:val="1DBB39E8"/>
    <w:multiLevelType w:val="hybridMultilevel"/>
    <w:tmpl w:val="62E8B2BC"/>
    <w:lvl w:ilvl="0" w:tplc="831640A2">
      <w:start w:val="1"/>
      <w:numFmt w:val="lowerRoman"/>
      <w:lvlText w:val="(%1)"/>
      <w:lvlJc w:val="left"/>
      <w:pPr>
        <w:ind w:left="1069" w:hanging="360"/>
      </w:pPr>
      <w:rPr>
        <w:rFonts w:hint="default"/>
        <w:sz w:val="22"/>
        <w:szCs w:val="22"/>
      </w:rPr>
    </w:lvl>
    <w:lvl w:ilvl="1" w:tplc="DBC256BC" w:tentative="1">
      <w:start w:val="1"/>
      <w:numFmt w:val="lowerLetter"/>
      <w:lvlText w:val="%2."/>
      <w:lvlJc w:val="left"/>
      <w:pPr>
        <w:ind w:left="1789" w:hanging="360"/>
      </w:pPr>
    </w:lvl>
    <w:lvl w:ilvl="2" w:tplc="DC100BF4" w:tentative="1">
      <w:start w:val="1"/>
      <w:numFmt w:val="lowerRoman"/>
      <w:lvlText w:val="%3."/>
      <w:lvlJc w:val="right"/>
      <w:pPr>
        <w:ind w:left="2509" w:hanging="180"/>
      </w:pPr>
    </w:lvl>
    <w:lvl w:ilvl="3" w:tplc="E982D3DC" w:tentative="1">
      <w:start w:val="1"/>
      <w:numFmt w:val="decimal"/>
      <w:lvlText w:val="%4."/>
      <w:lvlJc w:val="left"/>
      <w:pPr>
        <w:ind w:left="3229" w:hanging="360"/>
      </w:pPr>
    </w:lvl>
    <w:lvl w:ilvl="4" w:tplc="2FBA6E1E" w:tentative="1">
      <w:start w:val="1"/>
      <w:numFmt w:val="lowerLetter"/>
      <w:lvlText w:val="%5."/>
      <w:lvlJc w:val="left"/>
      <w:pPr>
        <w:ind w:left="3949" w:hanging="360"/>
      </w:pPr>
    </w:lvl>
    <w:lvl w:ilvl="5" w:tplc="E4260EC0" w:tentative="1">
      <w:start w:val="1"/>
      <w:numFmt w:val="lowerRoman"/>
      <w:lvlText w:val="%6."/>
      <w:lvlJc w:val="right"/>
      <w:pPr>
        <w:ind w:left="4669" w:hanging="180"/>
      </w:pPr>
    </w:lvl>
    <w:lvl w:ilvl="6" w:tplc="2C341ECC" w:tentative="1">
      <w:start w:val="1"/>
      <w:numFmt w:val="decimal"/>
      <w:lvlText w:val="%7."/>
      <w:lvlJc w:val="left"/>
      <w:pPr>
        <w:ind w:left="5389" w:hanging="360"/>
      </w:pPr>
    </w:lvl>
    <w:lvl w:ilvl="7" w:tplc="005033DE" w:tentative="1">
      <w:start w:val="1"/>
      <w:numFmt w:val="lowerLetter"/>
      <w:lvlText w:val="%8."/>
      <w:lvlJc w:val="left"/>
      <w:pPr>
        <w:ind w:left="6109" w:hanging="360"/>
      </w:pPr>
    </w:lvl>
    <w:lvl w:ilvl="8" w:tplc="43E410F2" w:tentative="1">
      <w:start w:val="1"/>
      <w:numFmt w:val="lowerRoman"/>
      <w:lvlText w:val="%9."/>
      <w:lvlJc w:val="right"/>
      <w:pPr>
        <w:ind w:left="6829" w:hanging="180"/>
      </w:pPr>
    </w:lvl>
  </w:abstractNum>
  <w:abstractNum w:abstractNumId="10" w15:restartNumberingAfterBreak="0">
    <w:nsid w:val="20F8788A"/>
    <w:multiLevelType w:val="multilevel"/>
    <w:tmpl w:val="1BBE94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84513F4"/>
    <w:multiLevelType w:val="hybridMultilevel"/>
    <w:tmpl w:val="C7FA78FE"/>
    <w:lvl w:ilvl="0" w:tplc="6084436E">
      <w:start w:val="1"/>
      <w:numFmt w:val="decimal"/>
      <w:lvlText w:val="%1."/>
      <w:lvlJc w:val="left"/>
      <w:pPr>
        <w:ind w:left="798" w:hanging="360"/>
      </w:pPr>
      <w:rPr>
        <w:rFonts w:hint="default"/>
      </w:rPr>
    </w:lvl>
    <w:lvl w:ilvl="1" w:tplc="2370C94A" w:tentative="1">
      <w:start w:val="1"/>
      <w:numFmt w:val="lowerLetter"/>
      <w:lvlText w:val="%2."/>
      <w:lvlJc w:val="left"/>
      <w:pPr>
        <w:ind w:left="1518" w:hanging="360"/>
      </w:pPr>
    </w:lvl>
    <w:lvl w:ilvl="2" w:tplc="CBE0E92A" w:tentative="1">
      <w:start w:val="1"/>
      <w:numFmt w:val="lowerRoman"/>
      <w:lvlText w:val="%3."/>
      <w:lvlJc w:val="right"/>
      <w:pPr>
        <w:ind w:left="2238" w:hanging="180"/>
      </w:pPr>
    </w:lvl>
    <w:lvl w:ilvl="3" w:tplc="9C68E5EC" w:tentative="1">
      <w:start w:val="1"/>
      <w:numFmt w:val="decimal"/>
      <w:lvlText w:val="%4."/>
      <w:lvlJc w:val="left"/>
      <w:pPr>
        <w:ind w:left="2958" w:hanging="360"/>
      </w:pPr>
    </w:lvl>
    <w:lvl w:ilvl="4" w:tplc="22AC9866" w:tentative="1">
      <w:start w:val="1"/>
      <w:numFmt w:val="lowerLetter"/>
      <w:lvlText w:val="%5."/>
      <w:lvlJc w:val="left"/>
      <w:pPr>
        <w:ind w:left="3678" w:hanging="360"/>
      </w:pPr>
    </w:lvl>
    <w:lvl w:ilvl="5" w:tplc="F6AE3904" w:tentative="1">
      <w:start w:val="1"/>
      <w:numFmt w:val="lowerRoman"/>
      <w:lvlText w:val="%6."/>
      <w:lvlJc w:val="right"/>
      <w:pPr>
        <w:ind w:left="4398" w:hanging="180"/>
      </w:pPr>
    </w:lvl>
    <w:lvl w:ilvl="6" w:tplc="A2A40D10" w:tentative="1">
      <w:start w:val="1"/>
      <w:numFmt w:val="decimal"/>
      <w:lvlText w:val="%7."/>
      <w:lvlJc w:val="left"/>
      <w:pPr>
        <w:ind w:left="5118" w:hanging="360"/>
      </w:pPr>
    </w:lvl>
    <w:lvl w:ilvl="7" w:tplc="630C30A0" w:tentative="1">
      <w:start w:val="1"/>
      <w:numFmt w:val="lowerLetter"/>
      <w:lvlText w:val="%8."/>
      <w:lvlJc w:val="left"/>
      <w:pPr>
        <w:ind w:left="5838" w:hanging="360"/>
      </w:pPr>
    </w:lvl>
    <w:lvl w:ilvl="8" w:tplc="CA2226C2" w:tentative="1">
      <w:start w:val="1"/>
      <w:numFmt w:val="lowerRoman"/>
      <w:lvlText w:val="%9."/>
      <w:lvlJc w:val="right"/>
      <w:pPr>
        <w:ind w:left="6558" w:hanging="180"/>
      </w:pPr>
    </w:lvl>
  </w:abstractNum>
  <w:abstractNum w:abstractNumId="12" w15:restartNumberingAfterBreak="0">
    <w:nsid w:val="30C820C7"/>
    <w:multiLevelType w:val="hybridMultilevel"/>
    <w:tmpl w:val="5DA01F94"/>
    <w:lvl w:ilvl="0" w:tplc="9DE25EAE">
      <w:start w:val="1"/>
      <w:numFmt w:val="decimal"/>
      <w:lvlText w:val="%1."/>
      <w:lvlJc w:val="left"/>
      <w:pPr>
        <w:ind w:left="720" w:hanging="360"/>
      </w:pPr>
    </w:lvl>
    <w:lvl w:ilvl="1" w:tplc="CC8CB282" w:tentative="1">
      <w:start w:val="1"/>
      <w:numFmt w:val="lowerLetter"/>
      <w:lvlText w:val="%2."/>
      <w:lvlJc w:val="left"/>
      <w:pPr>
        <w:ind w:left="1440" w:hanging="360"/>
      </w:pPr>
    </w:lvl>
    <w:lvl w:ilvl="2" w:tplc="98BA9060" w:tentative="1">
      <w:start w:val="1"/>
      <w:numFmt w:val="lowerRoman"/>
      <w:lvlText w:val="%3."/>
      <w:lvlJc w:val="right"/>
      <w:pPr>
        <w:ind w:left="2160" w:hanging="180"/>
      </w:pPr>
    </w:lvl>
    <w:lvl w:ilvl="3" w:tplc="23ACE31A" w:tentative="1">
      <w:start w:val="1"/>
      <w:numFmt w:val="decimal"/>
      <w:lvlText w:val="%4."/>
      <w:lvlJc w:val="left"/>
      <w:pPr>
        <w:ind w:left="2880" w:hanging="360"/>
      </w:pPr>
    </w:lvl>
    <w:lvl w:ilvl="4" w:tplc="EA14BEC8" w:tentative="1">
      <w:start w:val="1"/>
      <w:numFmt w:val="lowerLetter"/>
      <w:lvlText w:val="%5."/>
      <w:lvlJc w:val="left"/>
      <w:pPr>
        <w:ind w:left="3600" w:hanging="360"/>
      </w:pPr>
    </w:lvl>
    <w:lvl w:ilvl="5" w:tplc="95D46908" w:tentative="1">
      <w:start w:val="1"/>
      <w:numFmt w:val="lowerRoman"/>
      <w:lvlText w:val="%6."/>
      <w:lvlJc w:val="right"/>
      <w:pPr>
        <w:ind w:left="4320" w:hanging="180"/>
      </w:pPr>
    </w:lvl>
    <w:lvl w:ilvl="6" w:tplc="E584A970" w:tentative="1">
      <w:start w:val="1"/>
      <w:numFmt w:val="decimal"/>
      <w:lvlText w:val="%7."/>
      <w:lvlJc w:val="left"/>
      <w:pPr>
        <w:ind w:left="5040" w:hanging="360"/>
      </w:pPr>
    </w:lvl>
    <w:lvl w:ilvl="7" w:tplc="D5CC98FE" w:tentative="1">
      <w:start w:val="1"/>
      <w:numFmt w:val="lowerLetter"/>
      <w:lvlText w:val="%8."/>
      <w:lvlJc w:val="left"/>
      <w:pPr>
        <w:ind w:left="5760" w:hanging="360"/>
      </w:pPr>
    </w:lvl>
    <w:lvl w:ilvl="8" w:tplc="B0206ACC" w:tentative="1">
      <w:start w:val="1"/>
      <w:numFmt w:val="lowerRoman"/>
      <w:lvlText w:val="%9."/>
      <w:lvlJc w:val="right"/>
      <w:pPr>
        <w:ind w:left="6480" w:hanging="180"/>
      </w:pPr>
    </w:lvl>
  </w:abstractNum>
  <w:abstractNum w:abstractNumId="13" w15:restartNumberingAfterBreak="0">
    <w:nsid w:val="30CC4714"/>
    <w:multiLevelType w:val="multilevel"/>
    <w:tmpl w:val="3F98F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3B14D83"/>
    <w:multiLevelType w:val="singleLevel"/>
    <w:tmpl w:val="1E94858C"/>
    <w:lvl w:ilvl="0">
      <w:start w:val="1"/>
      <w:numFmt w:val="bullet"/>
      <w:pStyle w:val="TIRETbul1cm"/>
      <w:lvlText w:val=""/>
      <w:lvlJc w:val="left"/>
      <w:pPr>
        <w:tabs>
          <w:tab w:val="num" w:pos="644"/>
        </w:tabs>
        <w:ind w:left="284" w:firstLine="0"/>
      </w:pPr>
      <w:rPr>
        <w:rFonts w:ascii="Symbol" w:hAnsi="Symbol" w:hint="default"/>
      </w:rPr>
    </w:lvl>
  </w:abstractNum>
  <w:abstractNum w:abstractNumId="15" w15:restartNumberingAfterBreak="0">
    <w:nsid w:val="33D06747"/>
    <w:multiLevelType w:val="hybridMultilevel"/>
    <w:tmpl w:val="C4847498"/>
    <w:lvl w:ilvl="0" w:tplc="B054F9C6">
      <w:start w:val="5"/>
      <w:numFmt w:val="bullet"/>
      <w:lvlText w:val="-"/>
      <w:lvlJc w:val="left"/>
      <w:pPr>
        <w:ind w:left="1086" w:hanging="360"/>
      </w:pPr>
      <w:rPr>
        <w:rFonts w:ascii="Arial" w:eastAsia="Arial Unicode MS" w:hAnsi="Arial" w:cs="Arial" w:hint="default"/>
      </w:rPr>
    </w:lvl>
    <w:lvl w:ilvl="1" w:tplc="B9128C30" w:tentative="1">
      <w:start w:val="1"/>
      <w:numFmt w:val="bullet"/>
      <w:lvlText w:val="o"/>
      <w:lvlJc w:val="left"/>
      <w:pPr>
        <w:ind w:left="1806" w:hanging="360"/>
      </w:pPr>
      <w:rPr>
        <w:rFonts w:ascii="Courier New" w:hAnsi="Courier New" w:cs="Courier New" w:hint="default"/>
      </w:rPr>
    </w:lvl>
    <w:lvl w:ilvl="2" w:tplc="85989E58" w:tentative="1">
      <w:start w:val="1"/>
      <w:numFmt w:val="bullet"/>
      <w:lvlText w:val=""/>
      <w:lvlJc w:val="left"/>
      <w:pPr>
        <w:ind w:left="2526" w:hanging="360"/>
      </w:pPr>
      <w:rPr>
        <w:rFonts w:ascii="Wingdings" w:hAnsi="Wingdings" w:hint="default"/>
      </w:rPr>
    </w:lvl>
    <w:lvl w:ilvl="3" w:tplc="10E8D948" w:tentative="1">
      <w:start w:val="1"/>
      <w:numFmt w:val="bullet"/>
      <w:lvlText w:val=""/>
      <w:lvlJc w:val="left"/>
      <w:pPr>
        <w:ind w:left="3246" w:hanging="360"/>
      </w:pPr>
      <w:rPr>
        <w:rFonts w:ascii="Symbol" w:hAnsi="Symbol" w:hint="default"/>
      </w:rPr>
    </w:lvl>
    <w:lvl w:ilvl="4" w:tplc="5472F810" w:tentative="1">
      <w:start w:val="1"/>
      <w:numFmt w:val="bullet"/>
      <w:lvlText w:val="o"/>
      <w:lvlJc w:val="left"/>
      <w:pPr>
        <w:ind w:left="3966" w:hanging="360"/>
      </w:pPr>
      <w:rPr>
        <w:rFonts w:ascii="Courier New" w:hAnsi="Courier New" w:cs="Courier New" w:hint="default"/>
      </w:rPr>
    </w:lvl>
    <w:lvl w:ilvl="5" w:tplc="1D2A23A2" w:tentative="1">
      <w:start w:val="1"/>
      <w:numFmt w:val="bullet"/>
      <w:lvlText w:val=""/>
      <w:lvlJc w:val="left"/>
      <w:pPr>
        <w:ind w:left="4686" w:hanging="360"/>
      </w:pPr>
      <w:rPr>
        <w:rFonts w:ascii="Wingdings" w:hAnsi="Wingdings" w:hint="default"/>
      </w:rPr>
    </w:lvl>
    <w:lvl w:ilvl="6" w:tplc="8558EBC6" w:tentative="1">
      <w:start w:val="1"/>
      <w:numFmt w:val="bullet"/>
      <w:lvlText w:val=""/>
      <w:lvlJc w:val="left"/>
      <w:pPr>
        <w:ind w:left="5406" w:hanging="360"/>
      </w:pPr>
      <w:rPr>
        <w:rFonts w:ascii="Symbol" w:hAnsi="Symbol" w:hint="default"/>
      </w:rPr>
    </w:lvl>
    <w:lvl w:ilvl="7" w:tplc="97F2BC0E" w:tentative="1">
      <w:start w:val="1"/>
      <w:numFmt w:val="bullet"/>
      <w:lvlText w:val="o"/>
      <w:lvlJc w:val="left"/>
      <w:pPr>
        <w:ind w:left="6126" w:hanging="360"/>
      </w:pPr>
      <w:rPr>
        <w:rFonts w:ascii="Courier New" w:hAnsi="Courier New" w:cs="Courier New" w:hint="default"/>
      </w:rPr>
    </w:lvl>
    <w:lvl w:ilvl="8" w:tplc="0C1C0AE2" w:tentative="1">
      <w:start w:val="1"/>
      <w:numFmt w:val="bullet"/>
      <w:lvlText w:val=""/>
      <w:lvlJc w:val="left"/>
      <w:pPr>
        <w:ind w:left="6846" w:hanging="360"/>
      </w:pPr>
      <w:rPr>
        <w:rFonts w:ascii="Wingdings" w:hAnsi="Wingdings" w:hint="default"/>
      </w:rPr>
    </w:lvl>
  </w:abstractNum>
  <w:abstractNum w:abstractNumId="16" w15:restartNumberingAfterBreak="0">
    <w:nsid w:val="376F6CF5"/>
    <w:multiLevelType w:val="multilevel"/>
    <w:tmpl w:val="66C87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9ED7D0D"/>
    <w:multiLevelType w:val="multilevel"/>
    <w:tmpl w:val="5B40FBF6"/>
    <w:lvl w:ilvl="0">
      <w:start w:val="1"/>
      <w:numFmt w:val="decimal"/>
      <w:lvlText w:val="%1"/>
      <w:lvlJc w:val="left"/>
      <w:pPr>
        <w:tabs>
          <w:tab w:val="num" w:pos="720"/>
        </w:tabs>
        <w:ind w:left="0" w:firstLine="709"/>
      </w:pPr>
      <w:rPr>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3A16202C"/>
    <w:multiLevelType w:val="hybridMultilevel"/>
    <w:tmpl w:val="5C465BE8"/>
    <w:lvl w:ilvl="0" w:tplc="6B4A6C08">
      <w:start w:val="1"/>
      <w:numFmt w:val="upperLetter"/>
      <w:lvlText w:val="%1."/>
      <w:lvlJc w:val="left"/>
      <w:pPr>
        <w:ind w:left="644" w:hanging="360"/>
      </w:pPr>
      <w:rPr>
        <w:rFonts w:ascii="Arial" w:eastAsia="Arial Unicode MS" w:hAnsi="Arial" w:cs="Times New Roman"/>
      </w:rPr>
    </w:lvl>
    <w:lvl w:ilvl="1" w:tplc="D91E0ECA" w:tentative="1">
      <w:start w:val="1"/>
      <w:numFmt w:val="lowerLetter"/>
      <w:lvlText w:val="%2."/>
      <w:lvlJc w:val="left"/>
      <w:pPr>
        <w:ind w:left="1440" w:hanging="360"/>
      </w:pPr>
    </w:lvl>
    <w:lvl w:ilvl="2" w:tplc="D39A47FE" w:tentative="1">
      <w:start w:val="1"/>
      <w:numFmt w:val="lowerRoman"/>
      <w:lvlText w:val="%3."/>
      <w:lvlJc w:val="right"/>
      <w:pPr>
        <w:ind w:left="2160" w:hanging="180"/>
      </w:pPr>
    </w:lvl>
    <w:lvl w:ilvl="3" w:tplc="4F68A482" w:tentative="1">
      <w:start w:val="1"/>
      <w:numFmt w:val="decimal"/>
      <w:lvlText w:val="%4."/>
      <w:lvlJc w:val="left"/>
      <w:pPr>
        <w:ind w:left="2880" w:hanging="360"/>
      </w:pPr>
    </w:lvl>
    <w:lvl w:ilvl="4" w:tplc="ADEE2BF8" w:tentative="1">
      <w:start w:val="1"/>
      <w:numFmt w:val="lowerLetter"/>
      <w:lvlText w:val="%5."/>
      <w:lvlJc w:val="left"/>
      <w:pPr>
        <w:ind w:left="3600" w:hanging="360"/>
      </w:pPr>
    </w:lvl>
    <w:lvl w:ilvl="5" w:tplc="20CA5588" w:tentative="1">
      <w:start w:val="1"/>
      <w:numFmt w:val="lowerRoman"/>
      <w:lvlText w:val="%6."/>
      <w:lvlJc w:val="right"/>
      <w:pPr>
        <w:ind w:left="4320" w:hanging="180"/>
      </w:pPr>
    </w:lvl>
    <w:lvl w:ilvl="6" w:tplc="C74E7058" w:tentative="1">
      <w:start w:val="1"/>
      <w:numFmt w:val="decimal"/>
      <w:lvlText w:val="%7."/>
      <w:lvlJc w:val="left"/>
      <w:pPr>
        <w:ind w:left="5040" w:hanging="360"/>
      </w:pPr>
    </w:lvl>
    <w:lvl w:ilvl="7" w:tplc="674E9A04" w:tentative="1">
      <w:start w:val="1"/>
      <w:numFmt w:val="lowerLetter"/>
      <w:lvlText w:val="%8."/>
      <w:lvlJc w:val="left"/>
      <w:pPr>
        <w:ind w:left="5760" w:hanging="360"/>
      </w:pPr>
    </w:lvl>
    <w:lvl w:ilvl="8" w:tplc="1478B8E8" w:tentative="1">
      <w:start w:val="1"/>
      <w:numFmt w:val="lowerRoman"/>
      <w:lvlText w:val="%9."/>
      <w:lvlJc w:val="right"/>
      <w:pPr>
        <w:ind w:left="6480" w:hanging="180"/>
      </w:pPr>
    </w:lvl>
  </w:abstractNum>
  <w:abstractNum w:abstractNumId="19" w15:restartNumberingAfterBreak="0">
    <w:nsid w:val="4B204C64"/>
    <w:multiLevelType w:val="hybridMultilevel"/>
    <w:tmpl w:val="56C4212A"/>
    <w:lvl w:ilvl="0" w:tplc="23B41A80">
      <w:start w:val="1"/>
      <w:numFmt w:val="decimal"/>
      <w:lvlText w:val="%1."/>
      <w:lvlJc w:val="left"/>
      <w:pPr>
        <w:tabs>
          <w:tab w:val="num" w:pos="567"/>
        </w:tabs>
        <w:ind w:left="0" w:firstLine="0"/>
      </w:pPr>
      <w:rPr>
        <w:rFonts w:hint="default"/>
        <w:b w:val="0"/>
        <w:i w:val="0"/>
      </w:rPr>
    </w:lvl>
    <w:lvl w:ilvl="1" w:tplc="E41211B8" w:tentative="1">
      <w:start w:val="1"/>
      <w:numFmt w:val="lowerLetter"/>
      <w:lvlText w:val="%2."/>
      <w:lvlJc w:val="left"/>
      <w:pPr>
        <w:tabs>
          <w:tab w:val="num" w:pos="1440"/>
        </w:tabs>
        <w:ind w:left="1440" w:hanging="360"/>
      </w:pPr>
    </w:lvl>
    <w:lvl w:ilvl="2" w:tplc="1916A904" w:tentative="1">
      <w:start w:val="1"/>
      <w:numFmt w:val="lowerRoman"/>
      <w:lvlText w:val="%3."/>
      <w:lvlJc w:val="right"/>
      <w:pPr>
        <w:tabs>
          <w:tab w:val="num" w:pos="2160"/>
        </w:tabs>
        <w:ind w:left="2160" w:hanging="180"/>
      </w:pPr>
    </w:lvl>
    <w:lvl w:ilvl="3" w:tplc="68EED89C" w:tentative="1">
      <w:start w:val="1"/>
      <w:numFmt w:val="decimal"/>
      <w:lvlText w:val="%4."/>
      <w:lvlJc w:val="left"/>
      <w:pPr>
        <w:tabs>
          <w:tab w:val="num" w:pos="2880"/>
        </w:tabs>
        <w:ind w:left="2880" w:hanging="360"/>
      </w:pPr>
    </w:lvl>
    <w:lvl w:ilvl="4" w:tplc="6B8C5EF2" w:tentative="1">
      <w:start w:val="1"/>
      <w:numFmt w:val="lowerLetter"/>
      <w:lvlText w:val="%5."/>
      <w:lvlJc w:val="left"/>
      <w:pPr>
        <w:tabs>
          <w:tab w:val="num" w:pos="3600"/>
        </w:tabs>
        <w:ind w:left="3600" w:hanging="360"/>
      </w:pPr>
    </w:lvl>
    <w:lvl w:ilvl="5" w:tplc="F79CDE22" w:tentative="1">
      <w:start w:val="1"/>
      <w:numFmt w:val="lowerRoman"/>
      <w:lvlText w:val="%6."/>
      <w:lvlJc w:val="right"/>
      <w:pPr>
        <w:tabs>
          <w:tab w:val="num" w:pos="4320"/>
        </w:tabs>
        <w:ind w:left="4320" w:hanging="180"/>
      </w:pPr>
    </w:lvl>
    <w:lvl w:ilvl="6" w:tplc="521C80DC" w:tentative="1">
      <w:start w:val="1"/>
      <w:numFmt w:val="decimal"/>
      <w:lvlText w:val="%7."/>
      <w:lvlJc w:val="left"/>
      <w:pPr>
        <w:tabs>
          <w:tab w:val="num" w:pos="5040"/>
        </w:tabs>
        <w:ind w:left="5040" w:hanging="360"/>
      </w:pPr>
    </w:lvl>
    <w:lvl w:ilvl="7" w:tplc="F0429D62" w:tentative="1">
      <w:start w:val="1"/>
      <w:numFmt w:val="lowerLetter"/>
      <w:lvlText w:val="%8."/>
      <w:lvlJc w:val="left"/>
      <w:pPr>
        <w:tabs>
          <w:tab w:val="num" w:pos="5760"/>
        </w:tabs>
        <w:ind w:left="5760" w:hanging="360"/>
      </w:pPr>
    </w:lvl>
    <w:lvl w:ilvl="8" w:tplc="450C572E" w:tentative="1">
      <w:start w:val="1"/>
      <w:numFmt w:val="lowerRoman"/>
      <w:lvlText w:val="%9."/>
      <w:lvlJc w:val="right"/>
      <w:pPr>
        <w:tabs>
          <w:tab w:val="num" w:pos="6480"/>
        </w:tabs>
        <w:ind w:left="6480" w:hanging="180"/>
      </w:pPr>
    </w:lvl>
  </w:abstractNum>
  <w:abstractNum w:abstractNumId="20" w15:restartNumberingAfterBreak="0">
    <w:nsid w:val="4E88035E"/>
    <w:multiLevelType w:val="hybridMultilevel"/>
    <w:tmpl w:val="B9D6EF66"/>
    <w:lvl w:ilvl="0" w:tplc="DB700E02">
      <w:start w:val="1"/>
      <w:numFmt w:val="bullet"/>
      <w:lvlText w:val=""/>
      <w:lvlJc w:val="left"/>
      <w:pPr>
        <w:ind w:left="720" w:hanging="360"/>
      </w:pPr>
      <w:rPr>
        <w:rFonts w:ascii="Symbol" w:hAnsi="Symbol" w:hint="default"/>
      </w:rPr>
    </w:lvl>
    <w:lvl w:ilvl="1" w:tplc="C54CAD58" w:tentative="1">
      <w:start w:val="1"/>
      <w:numFmt w:val="bullet"/>
      <w:lvlText w:val="o"/>
      <w:lvlJc w:val="left"/>
      <w:pPr>
        <w:ind w:left="1440" w:hanging="360"/>
      </w:pPr>
      <w:rPr>
        <w:rFonts w:ascii="Courier New" w:hAnsi="Courier New" w:cs="Courier New" w:hint="default"/>
      </w:rPr>
    </w:lvl>
    <w:lvl w:ilvl="2" w:tplc="A378E452" w:tentative="1">
      <w:start w:val="1"/>
      <w:numFmt w:val="bullet"/>
      <w:lvlText w:val=""/>
      <w:lvlJc w:val="left"/>
      <w:pPr>
        <w:ind w:left="2160" w:hanging="360"/>
      </w:pPr>
      <w:rPr>
        <w:rFonts w:ascii="Wingdings" w:hAnsi="Wingdings" w:hint="default"/>
      </w:rPr>
    </w:lvl>
    <w:lvl w:ilvl="3" w:tplc="DF323A00" w:tentative="1">
      <w:start w:val="1"/>
      <w:numFmt w:val="bullet"/>
      <w:lvlText w:val=""/>
      <w:lvlJc w:val="left"/>
      <w:pPr>
        <w:ind w:left="2880" w:hanging="360"/>
      </w:pPr>
      <w:rPr>
        <w:rFonts w:ascii="Symbol" w:hAnsi="Symbol" w:hint="default"/>
      </w:rPr>
    </w:lvl>
    <w:lvl w:ilvl="4" w:tplc="90F47064" w:tentative="1">
      <w:start w:val="1"/>
      <w:numFmt w:val="bullet"/>
      <w:lvlText w:val="o"/>
      <w:lvlJc w:val="left"/>
      <w:pPr>
        <w:ind w:left="3600" w:hanging="360"/>
      </w:pPr>
      <w:rPr>
        <w:rFonts w:ascii="Courier New" w:hAnsi="Courier New" w:cs="Courier New" w:hint="default"/>
      </w:rPr>
    </w:lvl>
    <w:lvl w:ilvl="5" w:tplc="3DB49CA2" w:tentative="1">
      <w:start w:val="1"/>
      <w:numFmt w:val="bullet"/>
      <w:lvlText w:val=""/>
      <w:lvlJc w:val="left"/>
      <w:pPr>
        <w:ind w:left="4320" w:hanging="360"/>
      </w:pPr>
      <w:rPr>
        <w:rFonts w:ascii="Wingdings" w:hAnsi="Wingdings" w:hint="default"/>
      </w:rPr>
    </w:lvl>
    <w:lvl w:ilvl="6" w:tplc="9E128608" w:tentative="1">
      <w:start w:val="1"/>
      <w:numFmt w:val="bullet"/>
      <w:lvlText w:val=""/>
      <w:lvlJc w:val="left"/>
      <w:pPr>
        <w:ind w:left="5040" w:hanging="360"/>
      </w:pPr>
      <w:rPr>
        <w:rFonts w:ascii="Symbol" w:hAnsi="Symbol" w:hint="default"/>
      </w:rPr>
    </w:lvl>
    <w:lvl w:ilvl="7" w:tplc="617EB52E" w:tentative="1">
      <w:start w:val="1"/>
      <w:numFmt w:val="bullet"/>
      <w:lvlText w:val="o"/>
      <w:lvlJc w:val="left"/>
      <w:pPr>
        <w:ind w:left="5760" w:hanging="360"/>
      </w:pPr>
      <w:rPr>
        <w:rFonts w:ascii="Courier New" w:hAnsi="Courier New" w:cs="Courier New" w:hint="default"/>
      </w:rPr>
    </w:lvl>
    <w:lvl w:ilvl="8" w:tplc="53428A76" w:tentative="1">
      <w:start w:val="1"/>
      <w:numFmt w:val="bullet"/>
      <w:lvlText w:val=""/>
      <w:lvlJc w:val="left"/>
      <w:pPr>
        <w:ind w:left="6480" w:hanging="360"/>
      </w:pPr>
      <w:rPr>
        <w:rFonts w:ascii="Wingdings" w:hAnsi="Wingdings" w:hint="default"/>
      </w:rPr>
    </w:lvl>
  </w:abstractNum>
  <w:abstractNum w:abstractNumId="21" w15:restartNumberingAfterBreak="0">
    <w:nsid w:val="5111396D"/>
    <w:multiLevelType w:val="multilevel"/>
    <w:tmpl w:val="746CC580"/>
    <w:lvl w:ilvl="0">
      <w:start w:val="9"/>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2C768C1"/>
    <w:multiLevelType w:val="hybridMultilevel"/>
    <w:tmpl w:val="D3E809BA"/>
    <w:lvl w:ilvl="0" w:tplc="0F7C8B08">
      <w:numFmt w:val="bullet"/>
      <w:lvlText w:val="-"/>
      <w:lvlJc w:val="left"/>
      <w:pPr>
        <w:ind w:left="720" w:hanging="360"/>
      </w:pPr>
      <w:rPr>
        <w:rFonts w:ascii="Arial" w:eastAsia="Arial Unicode MS" w:hAnsi="Arial" w:cs="Arial" w:hint="default"/>
      </w:rPr>
    </w:lvl>
    <w:lvl w:ilvl="1" w:tplc="21F4137A" w:tentative="1">
      <w:start w:val="1"/>
      <w:numFmt w:val="bullet"/>
      <w:lvlText w:val="o"/>
      <w:lvlJc w:val="left"/>
      <w:pPr>
        <w:ind w:left="1440" w:hanging="360"/>
      </w:pPr>
      <w:rPr>
        <w:rFonts w:ascii="Courier New" w:hAnsi="Courier New" w:cs="Courier New" w:hint="default"/>
      </w:rPr>
    </w:lvl>
    <w:lvl w:ilvl="2" w:tplc="B120BA40" w:tentative="1">
      <w:start w:val="1"/>
      <w:numFmt w:val="bullet"/>
      <w:lvlText w:val=""/>
      <w:lvlJc w:val="left"/>
      <w:pPr>
        <w:ind w:left="2160" w:hanging="360"/>
      </w:pPr>
      <w:rPr>
        <w:rFonts w:ascii="Wingdings" w:hAnsi="Wingdings" w:hint="default"/>
      </w:rPr>
    </w:lvl>
    <w:lvl w:ilvl="3" w:tplc="A644F962" w:tentative="1">
      <w:start w:val="1"/>
      <w:numFmt w:val="bullet"/>
      <w:lvlText w:val=""/>
      <w:lvlJc w:val="left"/>
      <w:pPr>
        <w:ind w:left="2880" w:hanging="360"/>
      </w:pPr>
      <w:rPr>
        <w:rFonts w:ascii="Symbol" w:hAnsi="Symbol" w:hint="default"/>
      </w:rPr>
    </w:lvl>
    <w:lvl w:ilvl="4" w:tplc="D456974C" w:tentative="1">
      <w:start w:val="1"/>
      <w:numFmt w:val="bullet"/>
      <w:lvlText w:val="o"/>
      <w:lvlJc w:val="left"/>
      <w:pPr>
        <w:ind w:left="3600" w:hanging="360"/>
      </w:pPr>
      <w:rPr>
        <w:rFonts w:ascii="Courier New" w:hAnsi="Courier New" w:cs="Courier New" w:hint="default"/>
      </w:rPr>
    </w:lvl>
    <w:lvl w:ilvl="5" w:tplc="BF6C2032" w:tentative="1">
      <w:start w:val="1"/>
      <w:numFmt w:val="bullet"/>
      <w:lvlText w:val=""/>
      <w:lvlJc w:val="left"/>
      <w:pPr>
        <w:ind w:left="4320" w:hanging="360"/>
      </w:pPr>
      <w:rPr>
        <w:rFonts w:ascii="Wingdings" w:hAnsi="Wingdings" w:hint="default"/>
      </w:rPr>
    </w:lvl>
    <w:lvl w:ilvl="6" w:tplc="7FDA44A8" w:tentative="1">
      <w:start w:val="1"/>
      <w:numFmt w:val="bullet"/>
      <w:lvlText w:val=""/>
      <w:lvlJc w:val="left"/>
      <w:pPr>
        <w:ind w:left="5040" w:hanging="360"/>
      </w:pPr>
      <w:rPr>
        <w:rFonts w:ascii="Symbol" w:hAnsi="Symbol" w:hint="default"/>
      </w:rPr>
    </w:lvl>
    <w:lvl w:ilvl="7" w:tplc="741E3A8E" w:tentative="1">
      <w:start w:val="1"/>
      <w:numFmt w:val="bullet"/>
      <w:lvlText w:val="o"/>
      <w:lvlJc w:val="left"/>
      <w:pPr>
        <w:ind w:left="5760" w:hanging="360"/>
      </w:pPr>
      <w:rPr>
        <w:rFonts w:ascii="Courier New" w:hAnsi="Courier New" w:cs="Courier New" w:hint="default"/>
      </w:rPr>
    </w:lvl>
    <w:lvl w:ilvl="8" w:tplc="C8FE407A" w:tentative="1">
      <w:start w:val="1"/>
      <w:numFmt w:val="bullet"/>
      <w:lvlText w:val=""/>
      <w:lvlJc w:val="left"/>
      <w:pPr>
        <w:ind w:left="6480" w:hanging="360"/>
      </w:pPr>
      <w:rPr>
        <w:rFonts w:ascii="Wingdings" w:hAnsi="Wingdings" w:hint="default"/>
      </w:rPr>
    </w:lvl>
  </w:abstractNum>
  <w:abstractNum w:abstractNumId="23" w15:restartNumberingAfterBreak="0">
    <w:nsid w:val="5471307C"/>
    <w:multiLevelType w:val="hybridMultilevel"/>
    <w:tmpl w:val="800A9C98"/>
    <w:lvl w:ilvl="0" w:tplc="46A4800C">
      <w:start w:val="1"/>
      <w:numFmt w:val="upperLetter"/>
      <w:lvlText w:val="%1."/>
      <w:lvlJc w:val="left"/>
      <w:pPr>
        <w:ind w:left="720" w:hanging="360"/>
      </w:pPr>
      <w:rPr>
        <w:rFonts w:hint="default"/>
      </w:rPr>
    </w:lvl>
    <w:lvl w:ilvl="1" w:tplc="C7E2A4BE">
      <w:start w:val="1"/>
      <w:numFmt w:val="lowerLetter"/>
      <w:lvlText w:val="%2."/>
      <w:lvlJc w:val="left"/>
      <w:pPr>
        <w:ind w:left="1440" w:hanging="360"/>
      </w:pPr>
    </w:lvl>
    <w:lvl w:ilvl="2" w:tplc="A16ADB38" w:tentative="1">
      <w:start w:val="1"/>
      <w:numFmt w:val="lowerRoman"/>
      <w:lvlText w:val="%3."/>
      <w:lvlJc w:val="right"/>
      <w:pPr>
        <w:ind w:left="2160" w:hanging="180"/>
      </w:pPr>
    </w:lvl>
    <w:lvl w:ilvl="3" w:tplc="8078146C" w:tentative="1">
      <w:start w:val="1"/>
      <w:numFmt w:val="decimal"/>
      <w:lvlText w:val="%4."/>
      <w:lvlJc w:val="left"/>
      <w:pPr>
        <w:ind w:left="2880" w:hanging="360"/>
      </w:pPr>
    </w:lvl>
    <w:lvl w:ilvl="4" w:tplc="C868E7CC" w:tentative="1">
      <w:start w:val="1"/>
      <w:numFmt w:val="lowerLetter"/>
      <w:lvlText w:val="%5."/>
      <w:lvlJc w:val="left"/>
      <w:pPr>
        <w:ind w:left="3600" w:hanging="360"/>
      </w:pPr>
    </w:lvl>
    <w:lvl w:ilvl="5" w:tplc="1A8A7870" w:tentative="1">
      <w:start w:val="1"/>
      <w:numFmt w:val="lowerRoman"/>
      <w:lvlText w:val="%6."/>
      <w:lvlJc w:val="right"/>
      <w:pPr>
        <w:ind w:left="4320" w:hanging="180"/>
      </w:pPr>
    </w:lvl>
    <w:lvl w:ilvl="6" w:tplc="F32C91E8" w:tentative="1">
      <w:start w:val="1"/>
      <w:numFmt w:val="decimal"/>
      <w:lvlText w:val="%7."/>
      <w:lvlJc w:val="left"/>
      <w:pPr>
        <w:ind w:left="5040" w:hanging="360"/>
      </w:pPr>
    </w:lvl>
    <w:lvl w:ilvl="7" w:tplc="F6CCB416" w:tentative="1">
      <w:start w:val="1"/>
      <w:numFmt w:val="lowerLetter"/>
      <w:lvlText w:val="%8."/>
      <w:lvlJc w:val="left"/>
      <w:pPr>
        <w:ind w:left="5760" w:hanging="360"/>
      </w:pPr>
    </w:lvl>
    <w:lvl w:ilvl="8" w:tplc="53B6C582" w:tentative="1">
      <w:start w:val="1"/>
      <w:numFmt w:val="lowerRoman"/>
      <w:lvlText w:val="%9."/>
      <w:lvlJc w:val="right"/>
      <w:pPr>
        <w:ind w:left="6480" w:hanging="180"/>
      </w:pPr>
    </w:lvl>
  </w:abstractNum>
  <w:abstractNum w:abstractNumId="24" w15:restartNumberingAfterBreak="0">
    <w:nsid w:val="59072590"/>
    <w:multiLevelType w:val="multilevel"/>
    <w:tmpl w:val="6AC44B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01432EB"/>
    <w:multiLevelType w:val="hybridMultilevel"/>
    <w:tmpl w:val="5F0E0364"/>
    <w:lvl w:ilvl="0" w:tplc="8A788A4E">
      <w:start w:val="1"/>
      <w:numFmt w:val="decimal"/>
      <w:lvlText w:val="%1."/>
      <w:lvlJc w:val="left"/>
      <w:pPr>
        <w:ind w:left="720" w:hanging="360"/>
      </w:pPr>
      <w:rPr>
        <w:rFonts w:ascii="Arial" w:hAnsi="Arial" w:hint="default"/>
        <w:b/>
        <w:i w:val="0"/>
        <w:sz w:val="22"/>
      </w:rPr>
    </w:lvl>
    <w:lvl w:ilvl="1" w:tplc="4C98D2A6" w:tentative="1">
      <w:start w:val="1"/>
      <w:numFmt w:val="lowerLetter"/>
      <w:lvlText w:val="%2."/>
      <w:lvlJc w:val="left"/>
      <w:pPr>
        <w:ind w:left="1440" w:hanging="360"/>
      </w:pPr>
    </w:lvl>
    <w:lvl w:ilvl="2" w:tplc="BF8859F6" w:tentative="1">
      <w:start w:val="1"/>
      <w:numFmt w:val="lowerRoman"/>
      <w:lvlText w:val="%3."/>
      <w:lvlJc w:val="right"/>
      <w:pPr>
        <w:ind w:left="2160" w:hanging="180"/>
      </w:pPr>
    </w:lvl>
    <w:lvl w:ilvl="3" w:tplc="B4EA2294" w:tentative="1">
      <w:start w:val="1"/>
      <w:numFmt w:val="decimal"/>
      <w:lvlText w:val="%4."/>
      <w:lvlJc w:val="left"/>
      <w:pPr>
        <w:ind w:left="2880" w:hanging="360"/>
      </w:pPr>
    </w:lvl>
    <w:lvl w:ilvl="4" w:tplc="0F464BD4" w:tentative="1">
      <w:start w:val="1"/>
      <w:numFmt w:val="lowerLetter"/>
      <w:lvlText w:val="%5."/>
      <w:lvlJc w:val="left"/>
      <w:pPr>
        <w:ind w:left="3600" w:hanging="360"/>
      </w:pPr>
    </w:lvl>
    <w:lvl w:ilvl="5" w:tplc="6C2EA074" w:tentative="1">
      <w:start w:val="1"/>
      <w:numFmt w:val="lowerRoman"/>
      <w:lvlText w:val="%6."/>
      <w:lvlJc w:val="right"/>
      <w:pPr>
        <w:ind w:left="4320" w:hanging="180"/>
      </w:pPr>
    </w:lvl>
    <w:lvl w:ilvl="6" w:tplc="1A4E6F74" w:tentative="1">
      <w:start w:val="1"/>
      <w:numFmt w:val="decimal"/>
      <w:lvlText w:val="%7."/>
      <w:lvlJc w:val="left"/>
      <w:pPr>
        <w:ind w:left="5040" w:hanging="360"/>
      </w:pPr>
    </w:lvl>
    <w:lvl w:ilvl="7" w:tplc="1D4082E6" w:tentative="1">
      <w:start w:val="1"/>
      <w:numFmt w:val="lowerLetter"/>
      <w:lvlText w:val="%8."/>
      <w:lvlJc w:val="left"/>
      <w:pPr>
        <w:ind w:left="5760" w:hanging="360"/>
      </w:pPr>
    </w:lvl>
    <w:lvl w:ilvl="8" w:tplc="0F2445BE" w:tentative="1">
      <w:start w:val="1"/>
      <w:numFmt w:val="lowerRoman"/>
      <w:lvlText w:val="%9."/>
      <w:lvlJc w:val="right"/>
      <w:pPr>
        <w:ind w:left="6480" w:hanging="180"/>
      </w:pPr>
    </w:lvl>
  </w:abstractNum>
  <w:abstractNum w:abstractNumId="26" w15:restartNumberingAfterBreak="0">
    <w:nsid w:val="682F256B"/>
    <w:multiLevelType w:val="multilevel"/>
    <w:tmpl w:val="A8647BD4"/>
    <w:lvl w:ilvl="0">
      <w:start w:val="1"/>
      <w:numFmt w:val="decimal"/>
      <w:lvlText w:val="%1."/>
      <w:lvlJc w:val="left"/>
      <w:pPr>
        <w:ind w:left="1080" w:hanging="360"/>
      </w:pPr>
      <w:rPr>
        <w:rFonts w:hint="default"/>
        <w:sz w:val="22"/>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7" w15:restartNumberingAfterBreak="0">
    <w:nsid w:val="744B35C5"/>
    <w:multiLevelType w:val="hybridMultilevel"/>
    <w:tmpl w:val="256E4662"/>
    <w:lvl w:ilvl="0" w:tplc="B2DA0660">
      <w:start w:val="1"/>
      <w:numFmt w:val="bullet"/>
      <w:lvlText w:val=""/>
      <w:lvlJc w:val="left"/>
      <w:pPr>
        <w:ind w:left="720" w:hanging="360"/>
      </w:pPr>
      <w:rPr>
        <w:rFonts w:ascii="Wingdings" w:hAnsi="Wingdings" w:hint="default"/>
      </w:rPr>
    </w:lvl>
    <w:lvl w:ilvl="1" w:tplc="F84C3210" w:tentative="1">
      <w:start w:val="1"/>
      <w:numFmt w:val="bullet"/>
      <w:lvlText w:val="o"/>
      <w:lvlJc w:val="left"/>
      <w:pPr>
        <w:ind w:left="1440" w:hanging="360"/>
      </w:pPr>
      <w:rPr>
        <w:rFonts w:ascii="Courier New" w:hAnsi="Courier New" w:cs="Courier New" w:hint="default"/>
      </w:rPr>
    </w:lvl>
    <w:lvl w:ilvl="2" w:tplc="F72AACF4" w:tentative="1">
      <w:start w:val="1"/>
      <w:numFmt w:val="bullet"/>
      <w:lvlText w:val=""/>
      <w:lvlJc w:val="left"/>
      <w:pPr>
        <w:ind w:left="2160" w:hanging="360"/>
      </w:pPr>
      <w:rPr>
        <w:rFonts w:ascii="Wingdings" w:hAnsi="Wingdings" w:hint="default"/>
      </w:rPr>
    </w:lvl>
    <w:lvl w:ilvl="3" w:tplc="8834BFC8" w:tentative="1">
      <w:start w:val="1"/>
      <w:numFmt w:val="bullet"/>
      <w:lvlText w:val=""/>
      <w:lvlJc w:val="left"/>
      <w:pPr>
        <w:ind w:left="2880" w:hanging="360"/>
      </w:pPr>
      <w:rPr>
        <w:rFonts w:ascii="Symbol" w:hAnsi="Symbol" w:hint="default"/>
      </w:rPr>
    </w:lvl>
    <w:lvl w:ilvl="4" w:tplc="D1E4D158" w:tentative="1">
      <w:start w:val="1"/>
      <w:numFmt w:val="bullet"/>
      <w:lvlText w:val="o"/>
      <w:lvlJc w:val="left"/>
      <w:pPr>
        <w:ind w:left="3600" w:hanging="360"/>
      </w:pPr>
      <w:rPr>
        <w:rFonts w:ascii="Courier New" w:hAnsi="Courier New" w:cs="Courier New" w:hint="default"/>
      </w:rPr>
    </w:lvl>
    <w:lvl w:ilvl="5" w:tplc="D654DC88" w:tentative="1">
      <w:start w:val="1"/>
      <w:numFmt w:val="bullet"/>
      <w:lvlText w:val=""/>
      <w:lvlJc w:val="left"/>
      <w:pPr>
        <w:ind w:left="4320" w:hanging="360"/>
      </w:pPr>
      <w:rPr>
        <w:rFonts w:ascii="Wingdings" w:hAnsi="Wingdings" w:hint="default"/>
      </w:rPr>
    </w:lvl>
    <w:lvl w:ilvl="6" w:tplc="0F5801E0" w:tentative="1">
      <w:start w:val="1"/>
      <w:numFmt w:val="bullet"/>
      <w:lvlText w:val=""/>
      <w:lvlJc w:val="left"/>
      <w:pPr>
        <w:ind w:left="5040" w:hanging="360"/>
      </w:pPr>
      <w:rPr>
        <w:rFonts w:ascii="Symbol" w:hAnsi="Symbol" w:hint="default"/>
      </w:rPr>
    </w:lvl>
    <w:lvl w:ilvl="7" w:tplc="2C88E4AC" w:tentative="1">
      <w:start w:val="1"/>
      <w:numFmt w:val="bullet"/>
      <w:lvlText w:val="o"/>
      <w:lvlJc w:val="left"/>
      <w:pPr>
        <w:ind w:left="5760" w:hanging="360"/>
      </w:pPr>
      <w:rPr>
        <w:rFonts w:ascii="Courier New" w:hAnsi="Courier New" w:cs="Courier New" w:hint="default"/>
      </w:rPr>
    </w:lvl>
    <w:lvl w:ilvl="8" w:tplc="3CD082A6" w:tentative="1">
      <w:start w:val="1"/>
      <w:numFmt w:val="bullet"/>
      <w:lvlText w:val=""/>
      <w:lvlJc w:val="left"/>
      <w:pPr>
        <w:ind w:left="6480" w:hanging="360"/>
      </w:pPr>
      <w:rPr>
        <w:rFonts w:ascii="Wingdings" w:hAnsi="Wingdings" w:hint="default"/>
      </w:rPr>
    </w:lvl>
  </w:abstractNum>
  <w:abstractNum w:abstractNumId="28" w15:restartNumberingAfterBreak="0">
    <w:nsid w:val="75A87526"/>
    <w:multiLevelType w:val="multilevel"/>
    <w:tmpl w:val="023AC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E776214"/>
    <w:multiLevelType w:val="multilevel"/>
    <w:tmpl w:val="5ECAF156"/>
    <w:lvl w:ilvl="0">
      <w:start w:val="1"/>
      <w:numFmt w:val="decimal"/>
      <w:lvlText w:val="%1."/>
      <w:lvlJc w:val="left"/>
      <w:pPr>
        <w:ind w:left="438" w:hanging="432"/>
      </w:pPr>
      <w:rPr>
        <w:rFonts w:hint="default"/>
      </w:rPr>
    </w:lvl>
    <w:lvl w:ilvl="1">
      <w:start w:val="1"/>
      <w:numFmt w:val="decimal"/>
      <w:lvlText w:val="%1.%2"/>
      <w:lvlJc w:val="left"/>
      <w:pPr>
        <w:ind w:left="582" w:hanging="576"/>
      </w:pPr>
      <w:rPr>
        <w:rFonts w:hint="default"/>
      </w:rPr>
    </w:lvl>
    <w:lvl w:ilvl="2">
      <w:start w:val="1"/>
      <w:numFmt w:val="decimal"/>
      <w:lvlText w:val="%1.%2.%3"/>
      <w:lvlJc w:val="left"/>
      <w:pPr>
        <w:ind w:left="726" w:hanging="720"/>
      </w:pPr>
      <w:rPr>
        <w:rFonts w:hint="default"/>
      </w:rPr>
    </w:lvl>
    <w:lvl w:ilvl="3">
      <w:start w:val="1"/>
      <w:numFmt w:val="decimal"/>
      <w:lvlText w:val="%1.%2.%3.%4"/>
      <w:lvlJc w:val="left"/>
      <w:pPr>
        <w:ind w:left="870" w:hanging="864"/>
      </w:pPr>
      <w:rPr>
        <w:rFonts w:hint="default"/>
      </w:rPr>
    </w:lvl>
    <w:lvl w:ilvl="4">
      <w:start w:val="1"/>
      <w:numFmt w:val="decimal"/>
      <w:lvlText w:val="%1.%2.%3.%4.%5"/>
      <w:lvlJc w:val="left"/>
      <w:pPr>
        <w:ind w:left="1014" w:hanging="1008"/>
      </w:pPr>
      <w:rPr>
        <w:rFonts w:hint="default"/>
      </w:rPr>
    </w:lvl>
    <w:lvl w:ilvl="5">
      <w:start w:val="1"/>
      <w:numFmt w:val="decimal"/>
      <w:lvlText w:val="%1.%2.%3.%4.%5.%6"/>
      <w:lvlJc w:val="left"/>
      <w:pPr>
        <w:ind w:left="1158" w:hanging="1152"/>
      </w:pPr>
      <w:rPr>
        <w:rFonts w:hint="default"/>
      </w:rPr>
    </w:lvl>
    <w:lvl w:ilvl="6">
      <w:start w:val="1"/>
      <w:numFmt w:val="decimal"/>
      <w:lvlText w:val="%1.%2.%3.%4.%5.%6.%7"/>
      <w:lvlJc w:val="left"/>
      <w:pPr>
        <w:ind w:left="1302" w:hanging="1296"/>
      </w:pPr>
      <w:rPr>
        <w:rFonts w:hint="default"/>
      </w:rPr>
    </w:lvl>
    <w:lvl w:ilvl="7">
      <w:start w:val="1"/>
      <w:numFmt w:val="decimal"/>
      <w:lvlText w:val="%1.%2.%3.%4.%5.%6.%7.%8"/>
      <w:lvlJc w:val="left"/>
      <w:pPr>
        <w:ind w:left="1446" w:hanging="1440"/>
      </w:pPr>
      <w:rPr>
        <w:rFonts w:hint="default"/>
      </w:rPr>
    </w:lvl>
    <w:lvl w:ilvl="8">
      <w:start w:val="1"/>
      <w:numFmt w:val="decimal"/>
      <w:lvlText w:val="%1.%2.%3.%4.%5.%6.%7.%8.%9"/>
      <w:lvlJc w:val="left"/>
      <w:pPr>
        <w:ind w:left="1590" w:hanging="1584"/>
      </w:pPr>
      <w:rPr>
        <w:rFonts w:hint="default"/>
      </w:rPr>
    </w:lvl>
  </w:abstractNum>
  <w:num w:numId="1">
    <w:abstractNumId w:val="14"/>
  </w:num>
  <w:num w:numId="2">
    <w:abstractNumId w:val="19"/>
  </w:num>
  <w:num w:numId="3">
    <w:abstractNumId w:val="0"/>
  </w:num>
  <w:num w:numId="4">
    <w:abstractNumId w:val="3"/>
  </w:num>
  <w:num w:numId="5">
    <w:abstractNumId w:val="5"/>
  </w:num>
  <w:num w:numId="6">
    <w:abstractNumId w:val="19"/>
  </w:num>
  <w:num w:numId="7">
    <w:abstractNumId w:val="19"/>
  </w:num>
  <w:num w:numId="8">
    <w:abstractNumId w:val="28"/>
  </w:num>
  <w:num w:numId="9">
    <w:abstractNumId w:val="16"/>
  </w:num>
  <w:num w:numId="10">
    <w:abstractNumId w:val="13"/>
  </w:num>
  <w:num w:numId="11">
    <w:abstractNumId w:val="25"/>
  </w:num>
  <w:num w:numId="12">
    <w:abstractNumId w:val="26"/>
  </w:num>
  <w:num w:numId="13">
    <w:abstractNumId w:val="23"/>
  </w:num>
  <w:num w:numId="14">
    <w:abstractNumId w:val="18"/>
  </w:num>
  <w:num w:numId="15">
    <w:abstractNumId w:val="29"/>
  </w:num>
  <w:num w:numId="16">
    <w:abstractNumId w:val="15"/>
  </w:num>
  <w:num w:numId="17">
    <w:abstractNumId w:val="9"/>
  </w:num>
  <w:num w:numId="18">
    <w:abstractNumId w:val="22"/>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19"/>
    <w:lvlOverride w:ilvl="0">
      <w:startOverride w:val="1"/>
    </w:lvlOverride>
  </w:num>
  <w:num w:numId="22">
    <w:abstractNumId w:val="19"/>
  </w:num>
  <w:num w:numId="23">
    <w:abstractNumId w:val="19"/>
  </w:num>
  <w:num w:numId="24">
    <w:abstractNumId w:val="11"/>
  </w:num>
  <w:num w:numId="25">
    <w:abstractNumId w:val="27"/>
  </w:num>
  <w:num w:numId="26">
    <w:abstractNumId w:val="19"/>
  </w:num>
  <w:num w:numId="27">
    <w:abstractNumId w:val="6"/>
  </w:num>
  <w:num w:numId="28">
    <w:abstractNumId w:val="2"/>
  </w:num>
  <w:num w:numId="29">
    <w:abstractNumId w:val="8"/>
  </w:num>
  <w:num w:numId="30">
    <w:abstractNumId w:val="1"/>
  </w:num>
  <w:num w:numId="31">
    <w:abstractNumId w:val="20"/>
  </w:num>
  <w:num w:numId="32">
    <w:abstractNumId w:val="12"/>
  </w:num>
  <w:num w:numId="33">
    <w:abstractNumId w:val="7"/>
  </w:num>
  <w:num w:numId="34">
    <w:abstractNumId w:val="21"/>
  </w:num>
  <w:num w:numId="35">
    <w:abstractNumId w:val="10"/>
  </w:num>
  <w:num w:numId="36">
    <w:abstractNumId w:val="2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6"/>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evenAndOddHeaders/>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16AC"/>
    <w:rsid w:val="000021BC"/>
    <w:rsid w:val="000102B7"/>
    <w:rsid w:val="00010BBB"/>
    <w:rsid w:val="000156E0"/>
    <w:rsid w:val="00020AA1"/>
    <w:rsid w:val="00027702"/>
    <w:rsid w:val="00034835"/>
    <w:rsid w:val="00040227"/>
    <w:rsid w:val="00062051"/>
    <w:rsid w:val="00070279"/>
    <w:rsid w:val="00076BD8"/>
    <w:rsid w:val="00085D6A"/>
    <w:rsid w:val="00085D85"/>
    <w:rsid w:val="000B276A"/>
    <w:rsid w:val="000B308A"/>
    <w:rsid w:val="000B693C"/>
    <w:rsid w:val="000C2EE5"/>
    <w:rsid w:val="000C61A0"/>
    <w:rsid w:val="000C6E08"/>
    <w:rsid w:val="000D16AC"/>
    <w:rsid w:val="000D5B8F"/>
    <w:rsid w:val="000E3E1A"/>
    <w:rsid w:val="000F0254"/>
    <w:rsid w:val="001156AE"/>
    <w:rsid w:val="00123719"/>
    <w:rsid w:val="001241D7"/>
    <w:rsid w:val="0012479D"/>
    <w:rsid w:val="001370E4"/>
    <w:rsid w:val="00137E97"/>
    <w:rsid w:val="00144420"/>
    <w:rsid w:val="001448C4"/>
    <w:rsid w:val="00152A1B"/>
    <w:rsid w:val="00155BA3"/>
    <w:rsid w:val="00163192"/>
    <w:rsid w:val="00166397"/>
    <w:rsid w:val="00167158"/>
    <w:rsid w:val="001732BA"/>
    <w:rsid w:val="001877F5"/>
    <w:rsid w:val="00196052"/>
    <w:rsid w:val="00196F31"/>
    <w:rsid w:val="001A2189"/>
    <w:rsid w:val="001A58AE"/>
    <w:rsid w:val="001A63A0"/>
    <w:rsid w:val="001B3B24"/>
    <w:rsid w:val="001C21FC"/>
    <w:rsid w:val="001C2C69"/>
    <w:rsid w:val="001C6455"/>
    <w:rsid w:val="001D27FC"/>
    <w:rsid w:val="001D75DB"/>
    <w:rsid w:val="00203217"/>
    <w:rsid w:val="00223053"/>
    <w:rsid w:val="0023083F"/>
    <w:rsid w:val="00242324"/>
    <w:rsid w:val="00253F18"/>
    <w:rsid w:val="002579C2"/>
    <w:rsid w:val="002652F9"/>
    <w:rsid w:val="002A1180"/>
    <w:rsid w:val="002A19EF"/>
    <w:rsid w:val="002B282C"/>
    <w:rsid w:val="002B7A48"/>
    <w:rsid w:val="002C7DE3"/>
    <w:rsid w:val="002D441C"/>
    <w:rsid w:val="002D7D0C"/>
    <w:rsid w:val="002E0859"/>
    <w:rsid w:val="002E6768"/>
    <w:rsid w:val="00305778"/>
    <w:rsid w:val="00307660"/>
    <w:rsid w:val="0031156B"/>
    <w:rsid w:val="003178E9"/>
    <w:rsid w:val="00317E5D"/>
    <w:rsid w:val="00327B2F"/>
    <w:rsid w:val="003404ED"/>
    <w:rsid w:val="0034156B"/>
    <w:rsid w:val="00347E19"/>
    <w:rsid w:val="003561BE"/>
    <w:rsid w:val="0037184C"/>
    <w:rsid w:val="0037249C"/>
    <w:rsid w:val="0038059E"/>
    <w:rsid w:val="003805F5"/>
    <w:rsid w:val="003A7860"/>
    <w:rsid w:val="003D3711"/>
    <w:rsid w:val="003F7186"/>
    <w:rsid w:val="00413F17"/>
    <w:rsid w:val="00424DE6"/>
    <w:rsid w:val="0043609D"/>
    <w:rsid w:val="00441140"/>
    <w:rsid w:val="00451B96"/>
    <w:rsid w:val="004529B8"/>
    <w:rsid w:val="00467E3F"/>
    <w:rsid w:val="00475D6F"/>
    <w:rsid w:val="004827E4"/>
    <w:rsid w:val="0048449B"/>
    <w:rsid w:val="00497E20"/>
    <w:rsid w:val="004A135F"/>
    <w:rsid w:val="004A5784"/>
    <w:rsid w:val="004B4ECA"/>
    <w:rsid w:val="004C1625"/>
    <w:rsid w:val="004E0B15"/>
    <w:rsid w:val="004F7D6C"/>
    <w:rsid w:val="0050245B"/>
    <w:rsid w:val="005124E1"/>
    <w:rsid w:val="00515584"/>
    <w:rsid w:val="00525395"/>
    <w:rsid w:val="005407B6"/>
    <w:rsid w:val="00547068"/>
    <w:rsid w:val="00557ECF"/>
    <w:rsid w:val="00587137"/>
    <w:rsid w:val="00587E23"/>
    <w:rsid w:val="005B2FDF"/>
    <w:rsid w:val="005B34F3"/>
    <w:rsid w:val="005B57CA"/>
    <w:rsid w:val="005B5B97"/>
    <w:rsid w:val="005C7A36"/>
    <w:rsid w:val="005C7D76"/>
    <w:rsid w:val="005D0ADD"/>
    <w:rsid w:val="005E1C99"/>
    <w:rsid w:val="005E544C"/>
    <w:rsid w:val="005E6889"/>
    <w:rsid w:val="005F4D23"/>
    <w:rsid w:val="006110DA"/>
    <w:rsid w:val="0061723A"/>
    <w:rsid w:val="00620EF2"/>
    <w:rsid w:val="0062489B"/>
    <w:rsid w:val="0062678D"/>
    <w:rsid w:val="006308BD"/>
    <w:rsid w:val="00633EA5"/>
    <w:rsid w:val="00637672"/>
    <w:rsid w:val="00676F33"/>
    <w:rsid w:val="006805F7"/>
    <w:rsid w:val="0068128E"/>
    <w:rsid w:val="006842FA"/>
    <w:rsid w:val="006853B6"/>
    <w:rsid w:val="0068682C"/>
    <w:rsid w:val="00690A0C"/>
    <w:rsid w:val="00690FD2"/>
    <w:rsid w:val="00693199"/>
    <w:rsid w:val="00696079"/>
    <w:rsid w:val="006A3D1E"/>
    <w:rsid w:val="006A761F"/>
    <w:rsid w:val="006B2FDD"/>
    <w:rsid w:val="006B4B95"/>
    <w:rsid w:val="006B59E2"/>
    <w:rsid w:val="006B7CBC"/>
    <w:rsid w:val="006C18D9"/>
    <w:rsid w:val="006C1BDA"/>
    <w:rsid w:val="006C6449"/>
    <w:rsid w:val="006D3998"/>
    <w:rsid w:val="006E1454"/>
    <w:rsid w:val="006E3870"/>
    <w:rsid w:val="006E692F"/>
    <w:rsid w:val="006E7073"/>
    <w:rsid w:val="006F0C64"/>
    <w:rsid w:val="006F1F38"/>
    <w:rsid w:val="007029B7"/>
    <w:rsid w:val="00735830"/>
    <w:rsid w:val="00737A18"/>
    <w:rsid w:val="00746B89"/>
    <w:rsid w:val="007471D6"/>
    <w:rsid w:val="00762C36"/>
    <w:rsid w:val="00782D9B"/>
    <w:rsid w:val="00785386"/>
    <w:rsid w:val="0079212B"/>
    <w:rsid w:val="007C1458"/>
    <w:rsid w:val="007D1933"/>
    <w:rsid w:val="007E4F92"/>
    <w:rsid w:val="008048D2"/>
    <w:rsid w:val="00804B20"/>
    <w:rsid w:val="00806C60"/>
    <w:rsid w:val="00814CF8"/>
    <w:rsid w:val="008302D7"/>
    <w:rsid w:val="00853565"/>
    <w:rsid w:val="00870CE7"/>
    <w:rsid w:val="008754BE"/>
    <w:rsid w:val="00880C19"/>
    <w:rsid w:val="008849F0"/>
    <w:rsid w:val="0089077E"/>
    <w:rsid w:val="00891331"/>
    <w:rsid w:val="00893AD3"/>
    <w:rsid w:val="0089563B"/>
    <w:rsid w:val="008A6E5C"/>
    <w:rsid w:val="008B2DC6"/>
    <w:rsid w:val="008B384B"/>
    <w:rsid w:val="008B4705"/>
    <w:rsid w:val="008D0D1F"/>
    <w:rsid w:val="008D2398"/>
    <w:rsid w:val="008E3DD1"/>
    <w:rsid w:val="008F0FBC"/>
    <w:rsid w:val="008F6942"/>
    <w:rsid w:val="009026D3"/>
    <w:rsid w:val="00927117"/>
    <w:rsid w:val="00937EF7"/>
    <w:rsid w:val="00952863"/>
    <w:rsid w:val="00961211"/>
    <w:rsid w:val="00966A0F"/>
    <w:rsid w:val="00980050"/>
    <w:rsid w:val="00980B08"/>
    <w:rsid w:val="00980BE0"/>
    <w:rsid w:val="00987BBD"/>
    <w:rsid w:val="009916DC"/>
    <w:rsid w:val="00993CA4"/>
    <w:rsid w:val="009A62A9"/>
    <w:rsid w:val="009B63AB"/>
    <w:rsid w:val="009C0A89"/>
    <w:rsid w:val="009C13EF"/>
    <w:rsid w:val="009C15B1"/>
    <w:rsid w:val="009E6A03"/>
    <w:rsid w:val="009E78BB"/>
    <w:rsid w:val="009F2FC0"/>
    <w:rsid w:val="009F394A"/>
    <w:rsid w:val="009F7769"/>
    <w:rsid w:val="00A11697"/>
    <w:rsid w:val="00A14093"/>
    <w:rsid w:val="00A203FC"/>
    <w:rsid w:val="00A25BC8"/>
    <w:rsid w:val="00A3408F"/>
    <w:rsid w:val="00A43E9C"/>
    <w:rsid w:val="00A53513"/>
    <w:rsid w:val="00A67718"/>
    <w:rsid w:val="00A92572"/>
    <w:rsid w:val="00A92893"/>
    <w:rsid w:val="00A931AA"/>
    <w:rsid w:val="00AA2B13"/>
    <w:rsid w:val="00AC6BA4"/>
    <w:rsid w:val="00AD0FC5"/>
    <w:rsid w:val="00AD3D55"/>
    <w:rsid w:val="00AD494A"/>
    <w:rsid w:val="00B00D69"/>
    <w:rsid w:val="00B042BC"/>
    <w:rsid w:val="00B06427"/>
    <w:rsid w:val="00B41E84"/>
    <w:rsid w:val="00B55C66"/>
    <w:rsid w:val="00B722DE"/>
    <w:rsid w:val="00B818D2"/>
    <w:rsid w:val="00B83068"/>
    <w:rsid w:val="00B838FB"/>
    <w:rsid w:val="00BA76D9"/>
    <w:rsid w:val="00BA799E"/>
    <w:rsid w:val="00BB5D00"/>
    <w:rsid w:val="00BD6603"/>
    <w:rsid w:val="00BE35BA"/>
    <w:rsid w:val="00BE4427"/>
    <w:rsid w:val="00BF069C"/>
    <w:rsid w:val="00BF1838"/>
    <w:rsid w:val="00BF254D"/>
    <w:rsid w:val="00BF378D"/>
    <w:rsid w:val="00BF3835"/>
    <w:rsid w:val="00BF45BD"/>
    <w:rsid w:val="00BF6786"/>
    <w:rsid w:val="00BF67E7"/>
    <w:rsid w:val="00C008B0"/>
    <w:rsid w:val="00C05769"/>
    <w:rsid w:val="00C1002D"/>
    <w:rsid w:val="00C11C55"/>
    <w:rsid w:val="00C14DD3"/>
    <w:rsid w:val="00C16294"/>
    <w:rsid w:val="00C2635E"/>
    <w:rsid w:val="00C31853"/>
    <w:rsid w:val="00C42FFB"/>
    <w:rsid w:val="00C6486C"/>
    <w:rsid w:val="00C648D3"/>
    <w:rsid w:val="00C674AF"/>
    <w:rsid w:val="00C75B02"/>
    <w:rsid w:val="00C77DDE"/>
    <w:rsid w:val="00C86109"/>
    <w:rsid w:val="00C87727"/>
    <w:rsid w:val="00C962F0"/>
    <w:rsid w:val="00CB3148"/>
    <w:rsid w:val="00CC7192"/>
    <w:rsid w:val="00CD6EF7"/>
    <w:rsid w:val="00D013ED"/>
    <w:rsid w:val="00D06F71"/>
    <w:rsid w:val="00D166EE"/>
    <w:rsid w:val="00D2392E"/>
    <w:rsid w:val="00D265AD"/>
    <w:rsid w:val="00D27F78"/>
    <w:rsid w:val="00D35CD5"/>
    <w:rsid w:val="00D36BDC"/>
    <w:rsid w:val="00D448A1"/>
    <w:rsid w:val="00D5049E"/>
    <w:rsid w:val="00D55FEC"/>
    <w:rsid w:val="00D76955"/>
    <w:rsid w:val="00D859D0"/>
    <w:rsid w:val="00D91C09"/>
    <w:rsid w:val="00D92DD1"/>
    <w:rsid w:val="00D95CAD"/>
    <w:rsid w:val="00D96F5C"/>
    <w:rsid w:val="00DB1DFA"/>
    <w:rsid w:val="00DE35FF"/>
    <w:rsid w:val="00DE6237"/>
    <w:rsid w:val="00DF2FB9"/>
    <w:rsid w:val="00E454CD"/>
    <w:rsid w:val="00E55234"/>
    <w:rsid w:val="00E608A6"/>
    <w:rsid w:val="00E60CBC"/>
    <w:rsid w:val="00E63DEF"/>
    <w:rsid w:val="00E64936"/>
    <w:rsid w:val="00E75CF6"/>
    <w:rsid w:val="00E86189"/>
    <w:rsid w:val="00E8703C"/>
    <w:rsid w:val="00EA168C"/>
    <w:rsid w:val="00EA4DF1"/>
    <w:rsid w:val="00EA6689"/>
    <w:rsid w:val="00EA6DDF"/>
    <w:rsid w:val="00EC53C8"/>
    <w:rsid w:val="00EC753F"/>
    <w:rsid w:val="00EE0542"/>
    <w:rsid w:val="00EE11A0"/>
    <w:rsid w:val="00EF3957"/>
    <w:rsid w:val="00F02A0F"/>
    <w:rsid w:val="00F10F21"/>
    <w:rsid w:val="00F13BAA"/>
    <w:rsid w:val="00F26226"/>
    <w:rsid w:val="00F269BB"/>
    <w:rsid w:val="00F271BF"/>
    <w:rsid w:val="00F41387"/>
    <w:rsid w:val="00F463F2"/>
    <w:rsid w:val="00F47A40"/>
    <w:rsid w:val="00F50B8E"/>
    <w:rsid w:val="00F5447C"/>
    <w:rsid w:val="00F5598E"/>
    <w:rsid w:val="00F60A12"/>
    <w:rsid w:val="00F66E0A"/>
    <w:rsid w:val="00F7009F"/>
    <w:rsid w:val="00F70FD9"/>
    <w:rsid w:val="00F74494"/>
    <w:rsid w:val="00F8186D"/>
    <w:rsid w:val="00F8204B"/>
    <w:rsid w:val="00F82282"/>
    <w:rsid w:val="00FB3901"/>
    <w:rsid w:val="00FC0813"/>
    <w:rsid w:val="00FC312D"/>
    <w:rsid w:val="00FC3532"/>
    <w:rsid w:val="00FC54E1"/>
    <w:rsid w:val="00FE2557"/>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96434B4"/>
  <w15:docId w15:val="{A465CC3F-A5D9-4589-9960-2E4B7FC84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4DE6"/>
    <w:pPr>
      <w:tabs>
        <w:tab w:val="left" w:pos="567"/>
      </w:tabs>
      <w:snapToGrid w:val="0"/>
    </w:pPr>
    <w:rPr>
      <w:rFonts w:ascii="Arial" w:hAnsi="Arial"/>
      <w:snapToGrid w:val="0"/>
      <w:sz w:val="22"/>
      <w:szCs w:val="24"/>
      <w:lang w:val="en-GB" w:eastAsia="en-US"/>
    </w:rPr>
  </w:style>
  <w:style w:type="paragraph" w:styleId="Heading1">
    <w:name w:val="heading 1"/>
    <w:basedOn w:val="Normal"/>
    <w:next w:val="Marge"/>
    <w:qFormat/>
    <w:pPr>
      <w:keepNext/>
      <w:keepLines/>
      <w:spacing w:before="240" w:after="240"/>
      <w:jc w:val="center"/>
      <w:outlineLvl w:val="0"/>
    </w:pPr>
    <w:rPr>
      <w:b/>
      <w:bCs/>
      <w:kern w:val="28"/>
    </w:rPr>
  </w:style>
  <w:style w:type="paragraph" w:styleId="Heading2">
    <w:name w:val="heading 2"/>
    <w:basedOn w:val="Normal"/>
    <w:next w:val="Marge"/>
    <w:qFormat/>
    <w:pPr>
      <w:keepNext/>
      <w:keepLines/>
      <w:spacing w:before="480" w:after="240"/>
      <w:ind w:left="567" w:hanging="567"/>
      <w:outlineLvl w:val="1"/>
    </w:pPr>
    <w:rPr>
      <w:b/>
      <w:bCs/>
      <w:caps/>
    </w:rPr>
  </w:style>
  <w:style w:type="paragraph" w:styleId="Heading3">
    <w:name w:val="heading 3"/>
    <w:basedOn w:val="Normal"/>
    <w:next w:val="Marge"/>
    <w:autoRedefine/>
    <w:qFormat/>
    <w:rsid w:val="005C7A36"/>
    <w:pPr>
      <w:keepNext/>
      <w:keepLines/>
      <w:spacing w:after="240"/>
      <w:outlineLvl w:val="2"/>
    </w:pPr>
    <w:rPr>
      <w:rFonts w:eastAsia="Arial Unicode MS"/>
      <w:b/>
      <w:bCs/>
      <w:szCs w:val="22"/>
    </w:rPr>
  </w:style>
  <w:style w:type="paragraph" w:styleId="Heading4">
    <w:name w:val="heading 4"/>
    <w:basedOn w:val="Normal"/>
    <w:next w:val="Marge"/>
    <w:qFormat/>
    <w:pPr>
      <w:keepNext/>
      <w:keepLines/>
      <w:spacing w:after="240"/>
      <w:outlineLvl w:val="3"/>
    </w:pPr>
    <w:rPr>
      <w:b/>
      <w:bCs/>
    </w:rPr>
  </w:style>
  <w:style w:type="paragraph" w:styleId="Heading5">
    <w:name w:val="heading 5"/>
    <w:basedOn w:val="Normal"/>
    <w:next w:val="Marge"/>
    <w:qFormat/>
    <w:pPr>
      <w:keepNext/>
      <w:keepLines/>
      <w:tabs>
        <w:tab w:val="clear" w:pos="567"/>
        <w:tab w:val="left" w:pos="1134"/>
      </w:tabs>
      <w:spacing w:after="240"/>
      <w:ind w:left="1134" w:hanging="567"/>
      <w:outlineLvl w:val="4"/>
    </w:pPr>
    <w:rPr>
      <w:b/>
      <w:bCs/>
    </w:rPr>
  </w:style>
  <w:style w:type="paragraph" w:styleId="Heading6">
    <w:name w:val="heading 6"/>
    <w:basedOn w:val="Normal"/>
    <w:next w:val="Marge"/>
    <w:qFormat/>
    <w:pPr>
      <w:keepNext/>
      <w:keepLines/>
      <w:tabs>
        <w:tab w:val="clear" w:pos="567"/>
        <w:tab w:val="left" w:pos="1134"/>
      </w:tabs>
      <w:spacing w:after="240"/>
      <w:ind w:left="567"/>
      <w:outlineLvl w:val="5"/>
    </w:pPr>
    <w:rPr>
      <w:b/>
      <w:iCs/>
      <w:szCs w:val="22"/>
    </w:rPr>
  </w:style>
  <w:style w:type="paragraph" w:styleId="Heading7">
    <w:name w:val="heading 7"/>
    <w:basedOn w:val="Normal"/>
    <w:next w:val="Normal"/>
    <w:qFormat/>
    <w:pPr>
      <w:keepNext/>
      <w:spacing w:line="360" w:lineRule="atLeast"/>
      <w:outlineLvl w:val="6"/>
    </w:pPr>
    <w:rPr>
      <w:u w:val="single"/>
    </w:rPr>
  </w:style>
  <w:style w:type="paragraph" w:styleId="Heading9">
    <w:name w:val="heading 9"/>
    <w:basedOn w:val="Normal"/>
    <w:next w:val="Normal"/>
    <w:link w:val="Heading9Char"/>
    <w:semiHidden/>
    <w:unhideWhenUsed/>
    <w:qFormat/>
    <w:rsid w:val="002E0859"/>
    <w:pPr>
      <w:spacing w:before="240" w:after="60"/>
      <w:outlineLvl w:val="8"/>
    </w:pPr>
    <w:rPr>
      <w:rFonts w:eastAsia="SimSun" w:cs="Arial"/>
      <w:b/>
      <w:bCs/>
      <w:i/>
      <w:iCs/>
      <w:sz w:val="18"/>
      <w:szCs w:val="18"/>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rge">
    <w:name w:val="Marge"/>
    <w:basedOn w:val="Par"/>
    <w:link w:val="MargeChar"/>
    <w:pPr>
      <w:ind w:firstLine="0"/>
    </w:pPr>
  </w:style>
  <w:style w:type="paragraph" w:customStyle="1" w:styleId="Par">
    <w:name w:val="Par"/>
    <w:basedOn w:val="Normal"/>
    <w:link w:val="ParChar"/>
    <w:pPr>
      <w:spacing w:after="240"/>
      <w:ind w:firstLine="567"/>
      <w:jc w:val="both"/>
    </w:pPr>
  </w:style>
  <w:style w:type="paragraph" w:customStyle="1" w:styleId="a">
    <w:name w:val="(a)"/>
    <w:basedOn w:val="Normal"/>
    <w:pPr>
      <w:tabs>
        <w:tab w:val="left" w:pos="-737"/>
      </w:tabs>
      <w:spacing w:after="240"/>
      <w:ind w:left="567" w:hanging="567"/>
      <w:jc w:val="both"/>
    </w:pPr>
  </w:style>
  <w:style w:type="paragraph" w:customStyle="1" w:styleId="b">
    <w:name w:val="(b)"/>
    <w:basedOn w:val="a"/>
    <w:pPr>
      <w:tabs>
        <w:tab w:val="clear" w:pos="567"/>
        <w:tab w:val="left" w:pos="1134"/>
      </w:tabs>
      <w:ind w:left="1134"/>
    </w:pPr>
  </w:style>
  <w:style w:type="paragraph" w:customStyle="1" w:styleId="c">
    <w:name w:val="(c)"/>
    <w:basedOn w:val="Normal"/>
    <w:pPr>
      <w:tabs>
        <w:tab w:val="clear" w:pos="567"/>
        <w:tab w:val="left" w:pos="1701"/>
      </w:tabs>
      <w:spacing w:after="240"/>
      <w:ind w:left="1701" w:hanging="567"/>
      <w:jc w:val="both"/>
    </w:pPr>
  </w:style>
  <w:style w:type="paragraph" w:customStyle="1" w:styleId="alina">
    <w:name w:val="alinéa"/>
    <w:basedOn w:val="Normal"/>
    <w:pPr>
      <w:snapToGrid/>
      <w:spacing w:after="240"/>
      <w:ind w:left="567"/>
      <w:jc w:val="both"/>
    </w:pPr>
    <w:rPr>
      <w:snapToGrid/>
    </w:rPr>
  </w:style>
  <w:style w:type="character" w:styleId="FootnoteReference">
    <w:name w:val="footnote reference"/>
    <w:aliases w:val=" BVI fnr,(NECG) Footnote Reference,16 Point,BVI fnr,FO,Footnote,Footnote Reference Number,Footnote Reference1,Footnote Refernece,Footnotes refss,Ref,Superscript 6 Point,de nota al pie,footnote ref,ftref,nota pié di pagina,note bp"/>
    <w:link w:val="CarattereCharCarattereCarattereCharCarattereCharCarattereCharCharCharCharChar"/>
    <w:qFormat/>
    <w:rPr>
      <w:vertAlign w:val="superscript"/>
    </w:rPr>
  </w:style>
  <w:style w:type="paragraph" w:styleId="Header">
    <w:name w:val="header"/>
    <w:basedOn w:val="Normal"/>
    <w:pPr>
      <w:tabs>
        <w:tab w:val="center" w:pos="4153"/>
        <w:tab w:val="right" w:pos="8306"/>
      </w:tabs>
    </w:pPr>
  </w:style>
  <w:style w:type="paragraph" w:styleId="FootnoteText">
    <w:name w:val="footnote text"/>
    <w:basedOn w:val="Normal"/>
    <w:link w:val="FootnoteTextChar"/>
    <w:uiPriority w:val="99"/>
    <w:pPr>
      <w:ind w:left="567" w:hanging="567"/>
    </w:pPr>
    <w:rPr>
      <w:sz w:val="20"/>
      <w:szCs w:val="20"/>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customStyle="1" w:styleId="TIRETbul1cm">
    <w:name w:val="TIRET bul 1cm"/>
    <w:basedOn w:val="Normal"/>
    <w:pPr>
      <w:numPr>
        <w:numId w:val="1"/>
      </w:numPr>
      <w:tabs>
        <w:tab w:val="clear" w:pos="567"/>
        <w:tab w:val="clear" w:pos="644"/>
        <w:tab w:val="num" w:pos="851"/>
      </w:tabs>
      <w:adjustRightInd w:val="0"/>
      <w:spacing w:after="240"/>
      <w:ind w:left="851" w:hanging="284"/>
      <w:jc w:val="both"/>
    </w:pPr>
  </w:style>
  <w:style w:type="paragraph" w:customStyle="1" w:styleId="Serre">
    <w:name w:val="Serre"/>
    <w:basedOn w:val="Normal"/>
    <w:pPr>
      <w:tabs>
        <w:tab w:val="clear" w:pos="567"/>
      </w:tabs>
      <w:suppressAutoHyphens/>
      <w:snapToGrid/>
      <w:jc w:val="both"/>
      <w:outlineLvl w:val="2"/>
    </w:pPr>
    <w:rPr>
      <w:snapToGrid/>
      <w:szCs w:val="20"/>
      <w:lang w:eastAsia="fr-FR"/>
    </w:rPr>
  </w:style>
  <w:style w:type="paragraph" w:customStyle="1" w:styleId="COI">
    <w:name w:val="COI"/>
    <w:basedOn w:val="Marge"/>
    <w:link w:val="COIChar"/>
    <w:autoRedefine/>
    <w:rsid w:val="0037249C"/>
    <w:pPr>
      <w:tabs>
        <w:tab w:val="clear" w:pos="567"/>
        <w:tab w:val="left" w:pos="709"/>
      </w:tabs>
    </w:pPr>
    <w:rPr>
      <w:rFonts w:eastAsia="Arial Unicode MS" w:cs="Arial"/>
      <w:szCs w:val="22"/>
      <w:u w:val="single"/>
    </w:rPr>
  </w:style>
  <w:style w:type="paragraph" w:styleId="BlockText">
    <w:name w:val="Block Text"/>
    <w:basedOn w:val="Normal"/>
    <w:pPr>
      <w:tabs>
        <w:tab w:val="clear" w:pos="567"/>
      </w:tabs>
      <w:snapToGrid/>
      <w:ind w:left="360" w:right="540"/>
      <w:jc w:val="both"/>
    </w:pPr>
    <w:rPr>
      <w:i/>
      <w:iCs/>
      <w:snapToGrid/>
      <w:lang w:val="en-US"/>
    </w:rPr>
  </w:style>
  <w:style w:type="paragraph" w:styleId="BodyText2">
    <w:name w:val="Body Text 2"/>
    <w:basedOn w:val="Normal"/>
    <w:pPr>
      <w:tabs>
        <w:tab w:val="clear" w:pos="567"/>
      </w:tabs>
      <w:snapToGrid/>
      <w:spacing w:before="100" w:beforeAutospacing="1" w:after="100" w:afterAutospacing="1" w:line="360" w:lineRule="auto"/>
    </w:pPr>
    <w:rPr>
      <w:rFonts w:eastAsia="MS Mincho" w:cs="Arial"/>
      <w:snapToGrid/>
      <w:color w:val="FF0000"/>
      <w:lang w:val="en-US" w:eastAsia="ja-JP"/>
    </w:rPr>
  </w:style>
  <w:style w:type="paragraph" w:styleId="BodyTextIndent">
    <w:name w:val="Body Text Indent"/>
    <w:aliases w:val="Quotation"/>
    <w:basedOn w:val="Normal"/>
    <w:rsid w:val="008D2398"/>
    <w:pPr>
      <w:tabs>
        <w:tab w:val="clear" w:pos="567"/>
      </w:tabs>
      <w:snapToGrid/>
      <w:spacing w:before="120" w:after="100" w:afterAutospacing="1"/>
      <w:ind w:left="1134" w:right="1134"/>
      <w:jc w:val="both"/>
    </w:pPr>
    <w:rPr>
      <w:i/>
      <w:snapToGrid/>
    </w:rPr>
  </w:style>
  <w:style w:type="paragraph" w:customStyle="1" w:styleId="Docheading">
    <w:name w:val="Doc. heading"/>
    <w:basedOn w:val="Header"/>
    <w:rsid w:val="009C15B1"/>
    <w:pPr>
      <w:spacing w:after="480"/>
      <w:jc w:val="center"/>
    </w:pPr>
    <w:rPr>
      <w:rFonts w:cs="Arial"/>
      <w:b/>
      <w:bCs/>
      <w:caps/>
      <w:sz w:val="24"/>
    </w:rPr>
  </w:style>
  <w:style w:type="paragraph" w:styleId="BodyTextFirstIndent2">
    <w:name w:val="Body Text First Indent 2"/>
    <w:basedOn w:val="BodyTextIndent"/>
    <w:rsid w:val="008D2398"/>
    <w:pPr>
      <w:tabs>
        <w:tab w:val="left" w:pos="567"/>
      </w:tabs>
      <w:snapToGrid w:val="0"/>
      <w:spacing w:after="120"/>
      <w:ind w:left="283" w:firstLine="210"/>
      <w:jc w:val="left"/>
    </w:pPr>
    <w:rPr>
      <w:snapToGrid w:val="0"/>
    </w:rPr>
  </w:style>
  <w:style w:type="paragraph" w:customStyle="1" w:styleId="Listnumbered">
    <w:name w:val="List numbered"/>
    <w:basedOn w:val="ListBullet2"/>
    <w:autoRedefine/>
    <w:rsid w:val="00D013ED"/>
    <w:pPr>
      <w:numPr>
        <w:numId w:val="3"/>
      </w:numPr>
      <w:jc w:val="both"/>
    </w:pPr>
  </w:style>
  <w:style w:type="paragraph" w:customStyle="1" w:styleId="Style1">
    <w:name w:val="Style1"/>
    <w:basedOn w:val="Listnumbered"/>
    <w:autoRedefine/>
    <w:rsid w:val="006B4B95"/>
  </w:style>
  <w:style w:type="character" w:customStyle="1" w:styleId="ParChar">
    <w:name w:val="Par Char"/>
    <w:link w:val="Par"/>
    <w:rsid w:val="00690FD2"/>
    <w:rPr>
      <w:rFonts w:ascii="Arial" w:hAnsi="Arial"/>
      <w:snapToGrid w:val="0"/>
      <w:sz w:val="22"/>
      <w:szCs w:val="24"/>
      <w:lang w:val="en-GB" w:eastAsia="en-US" w:bidi="ar-SA"/>
    </w:rPr>
  </w:style>
  <w:style w:type="paragraph" w:styleId="ListBullet2">
    <w:name w:val="List Bullet 2"/>
    <w:basedOn w:val="Normal"/>
    <w:rsid w:val="006B4B95"/>
    <w:pPr>
      <w:numPr>
        <w:numId w:val="4"/>
      </w:numPr>
      <w:spacing w:after="240"/>
    </w:pPr>
  </w:style>
  <w:style w:type="character" w:customStyle="1" w:styleId="MargeChar">
    <w:name w:val="Marge Char"/>
    <w:basedOn w:val="ParChar"/>
    <w:link w:val="Marge"/>
    <w:rsid w:val="00690FD2"/>
    <w:rPr>
      <w:rFonts w:ascii="Arial" w:hAnsi="Arial"/>
      <w:snapToGrid w:val="0"/>
      <w:sz w:val="22"/>
      <w:szCs w:val="24"/>
      <w:lang w:val="en-GB" w:eastAsia="en-US" w:bidi="ar-SA"/>
    </w:rPr>
  </w:style>
  <w:style w:type="character" w:customStyle="1" w:styleId="COIChar">
    <w:name w:val="COI Char"/>
    <w:link w:val="COI"/>
    <w:rsid w:val="0037249C"/>
    <w:rPr>
      <w:rFonts w:ascii="Arial" w:eastAsia="Arial Unicode MS" w:hAnsi="Arial" w:cs="Arial"/>
      <w:snapToGrid w:val="0"/>
      <w:sz w:val="22"/>
      <w:szCs w:val="22"/>
      <w:u w:val="single"/>
      <w:lang w:val="en-GB" w:eastAsia="en-US"/>
    </w:rPr>
  </w:style>
  <w:style w:type="character" w:customStyle="1" w:styleId="Heading9Char">
    <w:name w:val="Heading 9 Char"/>
    <w:link w:val="Heading9"/>
    <w:semiHidden/>
    <w:locked/>
    <w:rsid w:val="002E0859"/>
    <w:rPr>
      <w:rFonts w:ascii="Arial" w:eastAsia="SimSun" w:hAnsi="Arial" w:cs="Arial"/>
      <w:b/>
      <w:bCs/>
      <w:i/>
      <w:iCs/>
      <w:snapToGrid w:val="0"/>
      <w:sz w:val="18"/>
      <w:szCs w:val="18"/>
      <w:u w:val="single"/>
      <w:lang w:val="en-GB" w:eastAsia="zh-CN" w:bidi="ar-SA"/>
    </w:rPr>
  </w:style>
  <w:style w:type="character" w:customStyle="1" w:styleId="Titre9Car1">
    <w:name w:val="Titre 9 Car1"/>
    <w:semiHidden/>
    <w:rsid w:val="002E0859"/>
    <w:rPr>
      <w:rFonts w:ascii="Cambria" w:eastAsia="Times New Roman" w:hAnsi="Cambria" w:cs="Times New Roman"/>
      <w:snapToGrid w:val="0"/>
      <w:sz w:val="22"/>
      <w:szCs w:val="22"/>
      <w:lang w:val="en-GB" w:eastAsia="en-US"/>
    </w:rPr>
  </w:style>
  <w:style w:type="character" w:styleId="Hyperlink">
    <w:name w:val="Hyperlink"/>
    <w:basedOn w:val="DefaultParagraphFont"/>
    <w:uiPriority w:val="99"/>
    <w:rsid w:val="00C2635E"/>
    <w:rPr>
      <w:color w:val="0000FF" w:themeColor="hyperlink"/>
      <w:u w:val="single"/>
    </w:rPr>
  </w:style>
  <w:style w:type="paragraph" w:styleId="NormalWeb">
    <w:name w:val="Normal (Web)"/>
    <w:basedOn w:val="Normal"/>
    <w:uiPriority w:val="99"/>
    <w:unhideWhenUsed/>
    <w:rsid w:val="00806C60"/>
    <w:pPr>
      <w:tabs>
        <w:tab w:val="clear" w:pos="567"/>
      </w:tabs>
      <w:snapToGrid/>
      <w:spacing w:before="100" w:beforeAutospacing="1" w:after="100" w:afterAutospacing="1"/>
    </w:pPr>
    <w:rPr>
      <w:rFonts w:ascii="Times New Roman" w:hAnsi="Times New Roman"/>
      <w:snapToGrid/>
      <w:sz w:val="24"/>
      <w:lang w:val="fr-FR" w:eastAsia="fr-FR"/>
    </w:rPr>
  </w:style>
  <w:style w:type="character" w:styleId="Emphasis">
    <w:name w:val="Emphasis"/>
    <w:basedOn w:val="DefaultParagraphFont"/>
    <w:uiPriority w:val="20"/>
    <w:qFormat/>
    <w:rsid w:val="00D95CAD"/>
    <w:rPr>
      <w:i/>
      <w:iCs/>
    </w:rPr>
  </w:style>
  <w:style w:type="character" w:customStyle="1" w:styleId="FootnoteTextChar">
    <w:name w:val="Footnote Text Char"/>
    <w:basedOn w:val="DefaultParagraphFont"/>
    <w:link w:val="FootnoteText"/>
    <w:uiPriority w:val="99"/>
    <w:rsid w:val="009F2FC0"/>
    <w:rPr>
      <w:rFonts w:ascii="Arial" w:hAnsi="Arial"/>
      <w:snapToGrid w:val="0"/>
      <w:lang w:val="en-GB" w:eastAsia="en-US"/>
    </w:rPr>
  </w:style>
  <w:style w:type="paragraph" w:styleId="CommentText">
    <w:name w:val="annotation text"/>
    <w:basedOn w:val="Normal"/>
    <w:link w:val="CommentTextChar"/>
    <w:rsid w:val="009F2FC0"/>
    <w:rPr>
      <w:sz w:val="20"/>
      <w:szCs w:val="20"/>
    </w:rPr>
  </w:style>
  <w:style w:type="character" w:customStyle="1" w:styleId="CommentTextChar">
    <w:name w:val="Comment Text Char"/>
    <w:basedOn w:val="DefaultParagraphFont"/>
    <w:link w:val="CommentText"/>
    <w:rsid w:val="009F2FC0"/>
    <w:rPr>
      <w:rFonts w:ascii="Arial" w:hAnsi="Arial"/>
      <w:snapToGrid w:val="0"/>
      <w:lang w:val="en-GB" w:eastAsia="en-US"/>
    </w:rPr>
  </w:style>
  <w:style w:type="paragraph" w:styleId="CommentSubject">
    <w:name w:val="annotation subject"/>
    <w:basedOn w:val="CommentText"/>
    <w:next w:val="CommentText"/>
    <w:link w:val="CommentSubjectChar"/>
    <w:uiPriority w:val="99"/>
    <w:unhideWhenUsed/>
    <w:rsid w:val="009F2FC0"/>
    <w:pPr>
      <w:tabs>
        <w:tab w:val="clear" w:pos="567"/>
        <w:tab w:val="left" w:pos="709"/>
      </w:tabs>
    </w:pPr>
    <w:rPr>
      <w:rFonts w:ascii="Times New Roman" w:eastAsia="SimSun" w:hAnsi="Times New Roman"/>
      <w:b/>
      <w:bCs/>
      <w:lang w:val="fr-FR" w:eastAsia="zh-CN"/>
    </w:rPr>
  </w:style>
  <w:style w:type="character" w:customStyle="1" w:styleId="CommentSubjectChar">
    <w:name w:val="Comment Subject Char"/>
    <w:basedOn w:val="CommentTextChar"/>
    <w:link w:val="CommentSubject"/>
    <w:uiPriority w:val="99"/>
    <w:rsid w:val="009F2FC0"/>
    <w:rPr>
      <w:rFonts w:ascii="Arial" w:eastAsia="SimSun" w:hAnsi="Arial"/>
      <w:b/>
      <w:bCs/>
      <w:snapToGrid w:val="0"/>
      <w:lang w:val="en-GB" w:eastAsia="zh-CN"/>
    </w:rPr>
  </w:style>
  <w:style w:type="paragraph" w:styleId="BalloonText">
    <w:name w:val="Balloon Text"/>
    <w:basedOn w:val="Normal"/>
    <w:link w:val="BalloonTextChar"/>
    <w:rsid w:val="00E75CF6"/>
    <w:rPr>
      <w:rFonts w:ascii="Tahoma" w:hAnsi="Tahoma" w:cs="Tahoma"/>
      <w:sz w:val="16"/>
      <w:szCs w:val="16"/>
    </w:rPr>
  </w:style>
  <w:style w:type="character" w:customStyle="1" w:styleId="BalloonTextChar">
    <w:name w:val="Balloon Text Char"/>
    <w:basedOn w:val="DefaultParagraphFont"/>
    <w:link w:val="BalloonText"/>
    <w:rsid w:val="00E75CF6"/>
    <w:rPr>
      <w:rFonts w:ascii="Tahoma" w:hAnsi="Tahoma" w:cs="Tahoma"/>
      <w:snapToGrid w:val="0"/>
      <w:sz w:val="16"/>
      <w:szCs w:val="16"/>
      <w:lang w:val="en-GB" w:eastAsia="en-US"/>
    </w:rPr>
  </w:style>
  <w:style w:type="paragraph" w:styleId="ListParagraph">
    <w:name w:val="List Paragraph"/>
    <w:basedOn w:val="Normal"/>
    <w:uiPriority w:val="34"/>
    <w:qFormat/>
    <w:rsid w:val="00BE35BA"/>
    <w:pPr>
      <w:tabs>
        <w:tab w:val="clear" w:pos="567"/>
        <w:tab w:val="left" w:pos="709"/>
      </w:tabs>
      <w:snapToGrid/>
      <w:ind w:left="720"/>
      <w:contextualSpacing/>
      <w:jc w:val="both"/>
    </w:pPr>
    <w:rPr>
      <w:rFonts w:ascii="Times New Roman" w:hAnsi="Times New Roman"/>
      <w:snapToGrid/>
      <w:sz w:val="24"/>
      <w:szCs w:val="20"/>
    </w:rPr>
  </w:style>
  <w:style w:type="character" w:styleId="FollowedHyperlink">
    <w:name w:val="FollowedHyperlink"/>
    <w:basedOn w:val="DefaultParagraphFont"/>
    <w:semiHidden/>
    <w:unhideWhenUsed/>
    <w:rsid w:val="0089563B"/>
    <w:rPr>
      <w:color w:val="800080" w:themeColor="followedHyperlink"/>
      <w:u w:val="single"/>
    </w:rPr>
  </w:style>
  <w:style w:type="character" w:styleId="CommentReference">
    <w:name w:val="annotation reference"/>
    <w:basedOn w:val="DefaultParagraphFont"/>
    <w:semiHidden/>
    <w:unhideWhenUsed/>
    <w:rsid w:val="006E1454"/>
    <w:rPr>
      <w:sz w:val="16"/>
      <w:szCs w:val="16"/>
    </w:rPr>
  </w:style>
  <w:style w:type="paragraph" w:styleId="Revision">
    <w:name w:val="Revision"/>
    <w:hidden/>
    <w:uiPriority w:val="99"/>
    <w:semiHidden/>
    <w:rsid w:val="006E1454"/>
    <w:rPr>
      <w:rFonts w:ascii="Arial" w:hAnsi="Arial"/>
      <w:snapToGrid w:val="0"/>
      <w:sz w:val="22"/>
      <w:szCs w:val="24"/>
      <w:lang w:val="en-GB" w:eastAsia="en-US"/>
    </w:rPr>
  </w:style>
  <w:style w:type="paragraph" w:customStyle="1" w:styleId="CarattereCharCarattereCarattereCharCarattereCharCarattereCharCharCharCharChar">
    <w:name w:val="Carattere Char Carattere Carattere Char Carattere Char Carattere Char Char Char Char Char"/>
    <w:aliases w:val="Footnote Reference Char Char Char Char Char Char Char Char Char Char Char Char Char Char Char Char Char,footnote number Char Char"/>
    <w:basedOn w:val="Normal"/>
    <w:link w:val="FootnoteReference"/>
    <w:rsid w:val="00C008B0"/>
    <w:pPr>
      <w:tabs>
        <w:tab w:val="clear" w:pos="567"/>
      </w:tabs>
      <w:snapToGrid/>
      <w:spacing w:before="120" w:after="160" w:line="240" w:lineRule="exact"/>
    </w:pPr>
    <w:rPr>
      <w:rFonts w:ascii="Times New Roman" w:hAnsi="Times New Roman"/>
      <w:snapToGrid/>
      <w:sz w:val="20"/>
      <w:szCs w:val="20"/>
      <w:vertAlign w:val="superscript"/>
      <w:lang w:val="fr-FR" w:eastAsia="fr-FR"/>
    </w:rPr>
  </w:style>
  <w:style w:type="character" w:customStyle="1" w:styleId="UnresolvedMention1">
    <w:name w:val="Unresolved Mention1"/>
    <w:basedOn w:val="DefaultParagraphFont"/>
    <w:uiPriority w:val="99"/>
    <w:semiHidden/>
    <w:unhideWhenUsed/>
    <w:rsid w:val="00242324"/>
    <w:rPr>
      <w:color w:val="605E5C"/>
      <w:shd w:val="clear" w:color="auto" w:fill="E1DFDD"/>
    </w:rPr>
  </w:style>
  <w:style w:type="paragraph" w:customStyle="1" w:styleId="ParaCOI">
    <w:name w:val="Para COI"/>
    <w:basedOn w:val="Normal"/>
    <w:link w:val="ParaCOICar"/>
    <w:qFormat/>
    <w:rsid w:val="007D1933"/>
    <w:pPr>
      <w:tabs>
        <w:tab w:val="clear" w:pos="567"/>
        <w:tab w:val="left" w:pos="709"/>
      </w:tabs>
      <w:spacing w:after="240"/>
      <w:jc w:val="both"/>
    </w:pPr>
    <w:rPr>
      <w:szCs w:val="22"/>
      <w:lang w:eastAsia="zh-CN"/>
    </w:rPr>
  </w:style>
  <w:style w:type="character" w:customStyle="1" w:styleId="ParaCOICar">
    <w:name w:val="Para COI Car"/>
    <w:link w:val="ParaCOI"/>
    <w:rsid w:val="007D1933"/>
    <w:rPr>
      <w:rFonts w:ascii="Arial" w:hAnsi="Arial"/>
      <w:snapToGrid w:val="0"/>
      <w:sz w:val="22"/>
      <w:szCs w:val="22"/>
      <w:lang w:val="en-GB" w:eastAsia="zh-CN"/>
    </w:rPr>
  </w:style>
  <w:style w:type="character" w:customStyle="1" w:styleId="UnresolvedMention2">
    <w:name w:val="Unresolved Mention2"/>
    <w:basedOn w:val="DefaultParagraphFont"/>
    <w:uiPriority w:val="99"/>
    <w:semiHidden/>
    <w:unhideWhenUsed/>
    <w:rsid w:val="00E8703C"/>
    <w:rPr>
      <w:color w:val="605E5C"/>
      <w:shd w:val="clear" w:color="auto" w:fill="E1DFDD"/>
    </w:rPr>
  </w:style>
  <w:style w:type="paragraph" w:customStyle="1" w:styleId="Default">
    <w:name w:val="Default"/>
    <w:rsid w:val="009F394A"/>
    <w:pPr>
      <w:autoSpaceDE w:val="0"/>
      <w:autoSpaceDN w:val="0"/>
      <w:adjustRightInd w:val="0"/>
    </w:pPr>
    <w:rPr>
      <w:rFonts w:ascii="Arial" w:eastAsiaTheme="minorHAnsi" w:hAnsi="Arial" w:cs="Arial"/>
      <w:color w:val="000000"/>
      <w:sz w:val="24"/>
      <w:szCs w:val="24"/>
      <w:lang w:eastAsia="en-US"/>
    </w:rPr>
  </w:style>
  <w:style w:type="table" w:styleId="TableGrid">
    <w:name w:val="Table Grid"/>
    <w:basedOn w:val="TableNormal"/>
    <w:uiPriority w:val="39"/>
    <w:rsid w:val="009F394A"/>
    <w:rPr>
      <w:rFonts w:ascii="Calibri" w:eastAsia="Calibri" w:hAnsi="Calibri" w:cs="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ceanexpert.org/document/28075" TargetMode="External"/><Relationship Id="rId13" Type="http://schemas.openxmlformats.org/officeDocument/2006/relationships/hyperlink" Target="https://oceanexpert.org/document/27957" TargetMode="External"/><Relationship Id="rId18" Type="http://schemas.openxmlformats.org/officeDocument/2006/relationships/hyperlink" Target="https://oceanexpert.org/document/28092" TargetMode="External"/><Relationship Id="rId26" Type="http://schemas.openxmlformats.org/officeDocument/2006/relationships/hyperlink" Target="https://unesdoc.unesco.org/ark:/48223/pf0000125186.page=46" TargetMode="External"/><Relationship Id="rId3" Type="http://schemas.openxmlformats.org/officeDocument/2006/relationships/styles" Target="styles.xml"/><Relationship Id="rId21" Type="http://schemas.openxmlformats.org/officeDocument/2006/relationships/hyperlink" Target="https://oceanexpert.org/document/27644" TargetMode="External"/><Relationship Id="rId7" Type="http://schemas.openxmlformats.org/officeDocument/2006/relationships/endnotes" Target="endnotes.xml"/><Relationship Id="rId12" Type="http://schemas.openxmlformats.org/officeDocument/2006/relationships/hyperlink" Target="https://unesdoc.unesco.org/ark:/48223/pf0000375848.locale=en" TargetMode="External"/><Relationship Id="rId17" Type="http://schemas.openxmlformats.org/officeDocument/2006/relationships/hyperlink" Target="https://unesdoc.unesco.org/ark:/48223/pf0000375848.locale=en" TargetMode="External"/><Relationship Id="rId25" Type="http://schemas.openxmlformats.org/officeDocument/2006/relationships/hyperlink" Target="https://unesdoc.unesco.org/ark:/48223/pf0000125186.page=12"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oceanexpert.org/document/28297" TargetMode="External"/><Relationship Id="rId20" Type="http://schemas.openxmlformats.org/officeDocument/2006/relationships/hyperlink" Target="https://unesdoc.unesco.org/ark:/48223/pf0000373889.locale=fr"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yperlink" Target="https://unesdoc.unesco.org/ark:/48223/pf0000125186.page=60"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oceanexpert.org/document/28336" TargetMode="External"/><Relationship Id="rId23" Type="http://schemas.openxmlformats.org/officeDocument/2006/relationships/hyperlink" Target="https://unesdoc.unesco.org/ark:/48223/pf0000125186.page=25" TargetMode="External"/><Relationship Id="rId28" Type="http://schemas.openxmlformats.org/officeDocument/2006/relationships/hyperlink" Target="https://unesdoc.unesco.org/ark:/48223/pf0000125186.page=13" TargetMode="External"/><Relationship Id="rId10" Type="http://schemas.openxmlformats.org/officeDocument/2006/relationships/header" Target="header2.xml"/><Relationship Id="rId19" Type="http://schemas.openxmlformats.org/officeDocument/2006/relationships/hyperlink" Target="https://unesdoc.unesco.org/ark:/48223/pf0000125186.locale=en" TargetMode="External"/><Relationship Id="rId31"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oceanexpert.org/document/28396" TargetMode="External"/><Relationship Id="rId22" Type="http://schemas.openxmlformats.org/officeDocument/2006/relationships/hyperlink" Target="https://oceanexpert.org/document/1731" TargetMode="External"/><Relationship Id="rId27" Type="http://schemas.openxmlformats.org/officeDocument/2006/relationships/hyperlink" Target="https://unesdoc.unesco.org/ark:/48223/pf0000125186.page=11" TargetMode="External"/><Relationship Id="rId30" Type="http://schemas.openxmlformats.org/officeDocument/2006/relationships/header" Target="header5.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_boned\AppData\Local\Microsoft\Windows\Temporary%20Internet%20Files\Content.Outlook\U6GEGBZT\Template%20WD-IOC27.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C3C578-F87A-4D9C-BFFD-AA59A547EC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WD-IOC27.dotx</Template>
  <TotalTime>3</TotalTime>
  <Pages>9</Pages>
  <Words>2900</Words>
  <Characters>16700</Characters>
  <Application>Microsoft Office Word</Application>
  <DocSecurity>0</DocSecurity>
  <Lines>139</Lines>
  <Paragraphs>39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The Road to the UN Year</vt:lpstr>
      <vt:lpstr>The Road to the UN Year</vt:lpstr>
    </vt:vector>
  </TitlesOfParts>
  <Company>UNESCO</Company>
  <LinksUpToDate>false</LinksUpToDate>
  <CharactersWithSpaces>19561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Road to the UN Year</dc:title>
  <dc:creator>Boned, Patrice</dc:creator>
  <cp:lastModifiedBy>Pastor Reyes, Ingrid</cp:lastModifiedBy>
  <cp:revision>3</cp:revision>
  <cp:lastPrinted>2021-06-20T08:22:00Z</cp:lastPrinted>
  <dcterms:created xsi:type="dcterms:W3CDTF">2021-06-20T08:21:00Z</dcterms:created>
  <dcterms:modified xsi:type="dcterms:W3CDTF">2021-06-20T08:22:00Z</dcterms:modified>
</cp:coreProperties>
</file>