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73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6832"/>
        <w:gridCol w:w="2941"/>
      </w:tblGrid>
      <w:tr w:rsidR="00976FE0" w:rsidRPr="000954E0" w14:paraId="2D7F6C94" w14:textId="77777777" w:rsidTr="00745A05">
        <w:tc>
          <w:tcPr>
            <w:tcW w:w="6832" w:type="dxa"/>
          </w:tcPr>
          <w:p w14:paraId="39A8D9D9" w14:textId="77777777" w:rsidR="00976FE0" w:rsidRPr="000954E0" w:rsidRDefault="000954E0" w:rsidP="00745A05">
            <w:pPr>
              <w:spacing w:after="240" w:line="360" w:lineRule="auto"/>
              <w:ind w:left="-250" w:firstLine="145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Рассылается по списку</w:t>
            </w:r>
          </w:p>
          <w:p w14:paraId="1DBA2AD5" w14:textId="77777777" w:rsidR="00976FE0" w:rsidRPr="00046D9D" w:rsidRDefault="00976FE0" w:rsidP="00B04AD7">
            <w:pPr>
              <w:spacing w:after="24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</w:tcPr>
          <w:p w14:paraId="0A09EE6C" w14:textId="77777777" w:rsidR="00976FE0" w:rsidRPr="00A26CAE" w:rsidRDefault="00976FE0" w:rsidP="00B04AD7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IOC</w:t>
            </w:r>
            <w:r w:rsidRPr="00A26CAE">
              <w:rPr>
                <w:rFonts w:ascii="Arial" w:hAnsi="Arial" w:cs="Arial"/>
                <w:b/>
                <w:sz w:val="22"/>
                <w:szCs w:val="22"/>
                <w:lang w:val="ru-RU"/>
              </w:rPr>
              <w:t>-31/</w:t>
            </w:r>
            <w:r w:rsidRPr="009D7991">
              <w:rPr>
                <w:rFonts w:ascii="Arial" w:hAnsi="Arial" w:cs="Arial"/>
                <w:b/>
                <w:sz w:val="22"/>
                <w:szCs w:val="22"/>
                <w:lang w:val="en-US"/>
              </w:rPr>
              <w:t>DR</w:t>
            </w:r>
            <w:r w:rsidRPr="00A26CAE">
              <w:rPr>
                <w:rFonts w:ascii="Arial" w:hAnsi="Arial" w:cs="Arial"/>
                <w:b/>
                <w:sz w:val="22"/>
                <w:szCs w:val="22"/>
                <w:lang w:val="ru-RU"/>
              </w:rPr>
              <w:t>.[4.4]</w:t>
            </w:r>
          </w:p>
          <w:p w14:paraId="3A0C4BD3" w14:textId="77777777" w:rsidR="00976FE0" w:rsidRPr="000954E0" w:rsidRDefault="000954E0" w:rsidP="00B04AD7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Париж</w:t>
            </w:r>
            <w:r w:rsidR="00976FE0" w:rsidRPr="000954E0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F21AEC" w:rsidRPr="000954E0">
              <w:rPr>
                <w:rFonts w:ascii="Arial" w:hAnsi="Arial" w:cs="Arial"/>
                <w:sz w:val="22"/>
                <w:szCs w:val="22"/>
                <w:lang w:val="ru-RU"/>
              </w:rPr>
              <w:t>22</w:t>
            </w:r>
            <w:r w:rsidR="00976FE0" w:rsidRPr="000954E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июня</w:t>
            </w:r>
            <w:r w:rsidR="00976FE0" w:rsidRPr="000954E0">
              <w:rPr>
                <w:rFonts w:ascii="Arial" w:hAnsi="Arial" w:cs="Arial"/>
                <w:sz w:val="22"/>
                <w:szCs w:val="22"/>
                <w:lang w:val="ru-RU"/>
              </w:rPr>
              <w:t xml:space="preserve"> 2021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г.</w:t>
            </w:r>
          </w:p>
          <w:p w14:paraId="04C5A609" w14:textId="77777777" w:rsidR="00976FE0" w:rsidRPr="000954E0" w:rsidRDefault="000954E0" w:rsidP="00B04AD7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snapToGrid w:val="0"/>
              <w:spacing w:after="240" w:line="360" w:lineRule="auto"/>
              <w:rPr>
                <w:rFonts w:ascii="Arial" w:hAnsi="Arial" w:cs="Arial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Оригинал</w:t>
            </w:r>
            <w:r w:rsidR="00976FE0" w:rsidRPr="000954E0">
              <w:rPr>
                <w:rFonts w:ascii="Arial" w:hAnsi="Arial" w:cs="Arial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английский</w:t>
            </w:r>
          </w:p>
        </w:tc>
      </w:tr>
    </w:tbl>
    <w:p w14:paraId="0C754448" w14:textId="77777777" w:rsidR="00D53493" w:rsidRPr="00A26CAE" w:rsidRDefault="000954E0" w:rsidP="001C4F20">
      <w:pPr>
        <w:tabs>
          <w:tab w:val="clear" w:pos="567"/>
          <w:tab w:val="left" w:pos="709"/>
        </w:tabs>
        <w:spacing w:after="240"/>
        <w:jc w:val="both"/>
        <w:rPr>
          <w:rFonts w:asciiTheme="minorBidi" w:eastAsia="Calibri" w:hAnsiTheme="minorBidi" w:cstheme="minorBidi"/>
          <w:iCs/>
          <w:sz w:val="22"/>
          <w:szCs w:val="22"/>
          <w:lang w:val="ru-RU"/>
        </w:rPr>
      </w:pPr>
      <w:r>
        <w:rPr>
          <w:rFonts w:asciiTheme="minorBidi" w:hAnsiTheme="minorBidi" w:cstheme="minorBidi"/>
          <w:b/>
          <w:snapToGrid/>
          <w:sz w:val="22"/>
          <w:szCs w:val="22"/>
          <w:lang w:val="ru-RU"/>
        </w:rPr>
        <w:t>Проект резолюции</w:t>
      </w:r>
      <w:r w:rsidR="00D53493" w:rsidRPr="00A26CAE">
        <w:rPr>
          <w:rFonts w:asciiTheme="minorBidi" w:hAnsiTheme="minorBidi" w:cstheme="minorBidi"/>
          <w:b/>
          <w:snapToGrid/>
          <w:sz w:val="22"/>
          <w:szCs w:val="22"/>
          <w:lang w:val="ru-RU"/>
        </w:rPr>
        <w:t xml:space="preserve"> </w:t>
      </w:r>
      <w:r w:rsidR="005C3A59" w:rsidRPr="00253F18">
        <w:rPr>
          <w:rFonts w:asciiTheme="minorBidi" w:hAnsiTheme="minorBidi" w:cstheme="minorBidi"/>
          <w:b/>
          <w:snapToGrid/>
          <w:sz w:val="22"/>
          <w:szCs w:val="22"/>
        </w:rPr>
        <w:t>A</w:t>
      </w:r>
      <w:r w:rsidR="00D0401F" w:rsidRPr="00A26CAE">
        <w:rPr>
          <w:rFonts w:asciiTheme="minorBidi" w:hAnsiTheme="minorBidi" w:cstheme="minorBidi"/>
          <w:b/>
          <w:snapToGrid/>
          <w:sz w:val="22"/>
          <w:szCs w:val="22"/>
          <w:lang w:val="ru-RU"/>
        </w:rPr>
        <w:t>-</w:t>
      </w:r>
      <w:r w:rsidR="005C3A59" w:rsidRPr="00A26CAE">
        <w:rPr>
          <w:rFonts w:asciiTheme="minorBidi" w:hAnsiTheme="minorBidi" w:cstheme="minorBidi"/>
          <w:b/>
          <w:snapToGrid/>
          <w:sz w:val="22"/>
          <w:szCs w:val="22"/>
          <w:lang w:val="ru-RU"/>
        </w:rPr>
        <w:t>31</w:t>
      </w:r>
      <w:r w:rsidR="00D0401F" w:rsidRPr="00A26CAE">
        <w:rPr>
          <w:rFonts w:asciiTheme="minorBidi" w:hAnsiTheme="minorBidi" w:cstheme="minorBidi"/>
          <w:b/>
          <w:snapToGrid/>
          <w:sz w:val="22"/>
          <w:szCs w:val="22"/>
          <w:lang w:val="ru-RU"/>
        </w:rPr>
        <w:t>/</w:t>
      </w:r>
      <w:r w:rsidR="005C3A59" w:rsidRPr="00A26CAE">
        <w:rPr>
          <w:rFonts w:asciiTheme="minorBidi" w:hAnsiTheme="minorBidi" w:cstheme="minorBidi"/>
          <w:b/>
          <w:snapToGrid/>
          <w:sz w:val="22"/>
          <w:szCs w:val="22"/>
          <w:lang w:val="ru-RU"/>
        </w:rPr>
        <w:t>[4.4]</w:t>
      </w:r>
    </w:p>
    <w:p w14:paraId="09C941D2" w14:textId="77777777" w:rsidR="005C3A59" w:rsidRPr="00A26CAE" w:rsidRDefault="00A26CAE" w:rsidP="004467F4">
      <w:pPr>
        <w:spacing w:after="240"/>
        <w:jc w:val="both"/>
        <w:rPr>
          <w:rFonts w:asciiTheme="minorBidi" w:eastAsia="Calibri" w:hAnsiTheme="minorBidi" w:cstheme="minorBidi"/>
          <w:sz w:val="22"/>
          <w:szCs w:val="22"/>
          <w:lang w:val="ru-RU"/>
        </w:rPr>
      </w:pPr>
      <w:r w:rsidRPr="00A26CAE">
        <w:rPr>
          <w:rFonts w:ascii="Arial" w:eastAsia="Calibri" w:hAnsi="Arial" w:cs="Arial"/>
          <w:iCs/>
          <w:sz w:val="22"/>
          <w:szCs w:val="22"/>
          <w:lang w:val="ru-RU"/>
        </w:rPr>
        <w:t>Представлен</w:t>
      </w:r>
      <w:r w:rsidR="001C4F20">
        <w:rPr>
          <w:rFonts w:ascii="Arial" w:eastAsia="Calibri" w:hAnsi="Arial" w:cs="Arial"/>
          <w:iCs/>
          <w:sz w:val="22"/>
          <w:szCs w:val="22"/>
          <w:lang w:val="ru-RU"/>
        </w:rPr>
        <w:t>:</w:t>
      </w:r>
      <w:r w:rsidRPr="00A26CAE">
        <w:rPr>
          <w:rFonts w:ascii="Arial" w:eastAsia="Calibri" w:hAnsi="Arial" w:cs="Arial"/>
          <w:iCs/>
          <w:sz w:val="22"/>
          <w:szCs w:val="22"/>
          <w:lang w:val="ru-RU"/>
        </w:rPr>
        <w:t xml:space="preserve"> Австралией, Азербайджаном, Алжиром, Аргентиной, Афганистаном,</w:t>
      </w:r>
      <w:r>
        <w:rPr>
          <w:rFonts w:ascii="Arial" w:eastAsia="Calibri" w:hAnsi="Arial" w:cs="Arial"/>
          <w:iCs/>
          <w:sz w:val="22"/>
          <w:szCs w:val="22"/>
          <w:lang w:val="ru-RU"/>
        </w:rPr>
        <w:br/>
      </w:r>
      <w:r w:rsidRPr="00A26CAE">
        <w:rPr>
          <w:rFonts w:ascii="Arial" w:eastAsia="Calibri" w:hAnsi="Arial" w:cs="Arial"/>
          <w:iCs/>
          <w:sz w:val="22"/>
          <w:szCs w:val="22"/>
          <w:lang w:val="ru-RU"/>
        </w:rPr>
        <w:t>Бангладеш, Бельгией, Бенином, Болгарией, Бразилией, Венесуэлой, Вьетнамом,</w:t>
      </w:r>
      <w:r>
        <w:rPr>
          <w:rFonts w:ascii="Arial" w:eastAsia="Calibri" w:hAnsi="Arial" w:cs="Arial"/>
          <w:iCs/>
          <w:sz w:val="22"/>
          <w:szCs w:val="22"/>
          <w:lang w:val="ru-RU"/>
        </w:rPr>
        <w:br/>
      </w:r>
      <w:r w:rsidRPr="00A26CAE">
        <w:rPr>
          <w:rFonts w:ascii="Arial" w:eastAsia="Calibri" w:hAnsi="Arial" w:cs="Arial"/>
          <w:iCs/>
          <w:sz w:val="22"/>
          <w:szCs w:val="22"/>
          <w:lang w:val="ru-RU"/>
        </w:rPr>
        <w:t xml:space="preserve">Германией,  Гренадой, Грецией, Джибути, Доминиканской Республикой, Египтом, </w:t>
      </w:r>
      <w:r>
        <w:rPr>
          <w:rFonts w:ascii="Arial" w:eastAsia="Calibri" w:hAnsi="Arial" w:cs="Arial"/>
          <w:iCs/>
          <w:sz w:val="22"/>
          <w:szCs w:val="22"/>
          <w:lang w:val="ru-RU"/>
        </w:rPr>
        <w:br/>
      </w:r>
      <w:r w:rsidRPr="00A26CAE">
        <w:rPr>
          <w:rFonts w:ascii="Arial" w:eastAsia="Calibri" w:hAnsi="Arial" w:cs="Arial"/>
          <w:iCs/>
          <w:sz w:val="22"/>
          <w:szCs w:val="22"/>
          <w:lang w:val="ru-RU"/>
        </w:rPr>
        <w:t>Индией, Индонезией, Иорданией, Ираном (Исламской Республикой), Италией, Канадой,</w:t>
      </w:r>
      <w:r>
        <w:rPr>
          <w:rFonts w:ascii="Arial" w:eastAsia="Calibri" w:hAnsi="Arial" w:cs="Arial"/>
          <w:iCs/>
          <w:sz w:val="22"/>
          <w:szCs w:val="22"/>
          <w:lang w:val="ru-RU"/>
        </w:rPr>
        <w:br/>
      </w:r>
      <w:r w:rsidRPr="00A26CAE">
        <w:rPr>
          <w:rFonts w:ascii="Arial" w:eastAsia="Calibri" w:hAnsi="Arial" w:cs="Arial"/>
          <w:iCs/>
          <w:sz w:val="22"/>
          <w:szCs w:val="22"/>
          <w:lang w:val="ru-RU"/>
        </w:rPr>
        <w:t xml:space="preserve">Катаром, Кенией, Китаем, Колумбией, Кот-д’Ивуаром, Кубой, Кувейтом, Ливией, </w:t>
      </w:r>
      <w:r>
        <w:rPr>
          <w:rFonts w:ascii="Arial" w:eastAsia="Calibri" w:hAnsi="Arial" w:cs="Arial"/>
          <w:iCs/>
          <w:sz w:val="22"/>
          <w:szCs w:val="22"/>
          <w:lang w:val="ru-RU"/>
        </w:rPr>
        <w:br/>
      </w:r>
      <w:r w:rsidRPr="00A26CAE">
        <w:rPr>
          <w:rFonts w:ascii="Arial" w:eastAsia="Calibri" w:hAnsi="Arial" w:cs="Arial"/>
          <w:iCs/>
          <w:sz w:val="22"/>
          <w:szCs w:val="22"/>
          <w:lang w:val="ru-RU"/>
        </w:rPr>
        <w:t xml:space="preserve">Мадагаскаром, Малайзией, Марокко, Мексикой, Мозамбиком, Монако, Нидерландами, Нигерией, Норвегией, Объединенными Арабскими Эмиратами, Панамой, Перу, </w:t>
      </w:r>
      <w:r>
        <w:rPr>
          <w:rFonts w:ascii="Arial" w:eastAsia="Calibri" w:hAnsi="Arial" w:cs="Arial"/>
          <w:iCs/>
          <w:sz w:val="22"/>
          <w:szCs w:val="22"/>
          <w:lang w:val="ru-RU"/>
        </w:rPr>
        <w:br/>
      </w:r>
      <w:r w:rsidRPr="00A26CAE">
        <w:rPr>
          <w:rFonts w:ascii="Arial" w:eastAsia="Calibri" w:hAnsi="Arial" w:cs="Arial"/>
          <w:iCs/>
          <w:sz w:val="22"/>
          <w:szCs w:val="22"/>
          <w:lang w:val="ru-RU"/>
        </w:rPr>
        <w:t xml:space="preserve">Португалией, Республикой Корея, Российской Федерацией, Румынией, Сальвадором, Сейшельскими Островами, Сенегалом, Сент-Винсентом и Гренадинами, Сербией, </w:t>
      </w:r>
      <w:r>
        <w:rPr>
          <w:rFonts w:ascii="Arial" w:eastAsia="Calibri" w:hAnsi="Arial" w:cs="Arial"/>
          <w:iCs/>
          <w:sz w:val="22"/>
          <w:szCs w:val="22"/>
          <w:lang w:val="ru-RU"/>
        </w:rPr>
        <w:br/>
      </w:r>
      <w:r w:rsidRPr="00A26CAE">
        <w:rPr>
          <w:rFonts w:ascii="Arial" w:eastAsia="Calibri" w:hAnsi="Arial" w:cs="Arial"/>
          <w:iCs/>
          <w:sz w:val="22"/>
          <w:szCs w:val="22"/>
          <w:lang w:val="ru-RU"/>
        </w:rPr>
        <w:t xml:space="preserve">Сингапуром, Соединенным Королевством, Сомали, США, Таиландом, Танзанией, </w:t>
      </w:r>
      <w:r>
        <w:rPr>
          <w:rFonts w:ascii="Arial" w:eastAsia="Calibri" w:hAnsi="Arial" w:cs="Arial"/>
          <w:iCs/>
          <w:sz w:val="22"/>
          <w:szCs w:val="22"/>
          <w:lang w:val="ru-RU"/>
        </w:rPr>
        <w:br/>
      </w:r>
      <w:r w:rsidRPr="00A26CAE">
        <w:rPr>
          <w:rFonts w:ascii="Arial" w:eastAsia="Calibri" w:hAnsi="Arial" w:cs="Arial"/>
          <w:iCs/>
          <w:sz w:val="22"/>
          <w:szCs w:val="22"/>
          <w:lang w:val="ru-RU"/>
        </w:rPr>
        <w:t>Тимором</w:t>
      </w:r>
      <w:r w:rsidR="00556AF7">
        <w:rPr>
          <w:rFonts w:ascii="Arial" w:eastAsia="Calibri" w:hAnsi="Arial" w:cs="Arial"/>
          <w:iCs/>
          <w:sz w:val="22"/>
          <w:szCs w:val="22"/>
          <w:lang w:val="ru-RU"/>
        </w:rPr>
        <w:t>-</w:t>
      </w:r>
      <w:r w:rsidRPr="00A26CAE">
        <w:rPr>
          <w:rFonts w:ascii="Arial" w:eastAsia="Calibri" w:hAnsi="Arial" w:cs="Arial"/>
          <w:iCs/>
          <w:sz w:val="22"/>
          <w:szCs w:val="22"/>
          <w:lang w:val="ru-RU"/>
        </w:rPr>
        <w:t>Ле</w:t>
      </w:r>
      <w:r w:rsidR="00556AF7">
        <w:rPr>
          <w:rFonts w:ascii="Arial" w:eastAsia="Calibri" w:hAnsi="Arial" w:cs="Arial"/>
          <w:iCs/>
          <w:sz w:val="22"/>
          <w:szCs w:val="22"/>
          <w:lang w:val="ru-RU"/>
        </w:rPr>
        <w:t>ш</w:t>
      </w:r>
      <w:r w:rsidRPr="00A26CAE">
        <w:rPr>
          <w:rFonts w:ascii="Arial" w:eastAsia="Calibri" w:hAnsi="Arial" w:cs="Arial"/>
          <w:iCs/>
          <w:sz w:val="22"/>
          <w:szCs w:val="22"/>
          <w:lang w:val="ru-RU"/>
        </w:rPr>
        <w:t>т</w:t>
      </w:r>
      <w:r w:rsidR="00556AF7">
        <w:rPr>
          <w:rFonts w:ascii="Arial" w:eastAsia="Calibri" w:hAnsi="Arial" w:cs="Arial"/>
          <w:iCs/>
          <w:sz w:val="22"/>
          <w:szCs w:val="22"/>
          <w:lang w:val="ru-RU"/>
        </w:rPr>
        <w:t>и</w:t>
      </w:r>
      <w:r w:rsidRPr="00A26CAE">
        <w:rPr>
          <w:rFonts w:ascii="Arial" w:eastAsia="Calibri" w:hAnsi="Arial" w:cs="Arial"/>
          <w:iCs/>
          <w:sz w:val="22"/>
          <w:szCs w:val="22"/>
          <w:lang w:val="ru-RU"/>
        </w:rPr>
        <w:t>, Того, Тунисом, Туркменистаном, Турцией, Уругваем, Филиппинами, Финляндией, Францией, Швецией, Шри-Ланкой, Южной Африкой и Японией</w:t>
      </w:r>
    </w:p>
    <w:p w14:paraId="08EEC998" w14:textId="77777777" w:rsidR="00D53493" w:rsidRPr="00A26CAE" w:rsidRDefault="00A26CAE" w:rsidP="004467F4">
      <w:pPr>
        <w:spacing w:after="240"/>
        <w:jc w:val="center"/>
        <w:rPr>
          <w:rFonts w:asciiTheme="minorBidi" w:eastAsia="Calibri" w:hAnsiTheme="minorBidi" w:cstheme="minorBidi"/>
          <w:b/>
          <w:bCs/>
          <w:lang w:val="ru-RU"/>
        </w:rPr>
      </w:pPr>
      <w:r w:rsidRPr="00A26CAE">
        <w:rPr>
          <w:rFonts w:ascii="Arial" w:hAnsi="Arial" w:cs="Arial"/>
          <w:b/>
          <w:bCs/>
          <w:color w:val="000000"/>
          <w:lang w:val="ru-RU"/>
        </w:rPr>
        <w:t>Аспекты деятельности Комиссии, касающиеся управления и</w:t>
      </w:r>
      <w:r>
        <w:rPr>
          <w:rFonts w:ascii="Arial" w:hAnsi="Arial" w:cs="Arial"/>
          <w:b/>
          <w:bCs/>
          <w:color w:val="000000"/>
          <w:lang w:val="ru-RU"/>
        </w:rPr>
        <w:br/>
      </w:r>
      <w:r w:rsidRPr="00A26CAE">
        <w:rPr>
          <w:rFonts w:ascii="Arial" w:hAnsi="Arial" w:cs="Arial"/>
          <w:b/>
          <w:bCs/>
          <w:color w:val="000000"/>
          <w:lang w:val="ru-RU"/>
        </w:rPr>
        <w:t>подготовки программы и бюджета</w:t>
      </w:r>
    </w:p>
    <w:p w14:paraId="4BB87774" w14:textId="77777777" w:rsidR="00A26CAE" w:rsidRPr="00A26CAE" w:rsidRDefault="00A26CAE" w:rsidP="00A26CAE">
      <w:pPr>
        <w:tabs>
          <w:tab w:val="clear" w:pos="567"/>
          <w:tab w:val="num" w:pos="1400"/>
        </w:tabs>
        <w:spacing w:after="240"/>
        <w:ind w:left="720" w:hanging="720"/>
        <w:jc w:val="both"/>
        <w:rPr>
          <w:rFonts w:ascii="Arial" w:hAnsi="Arial" w:cs="Arial"/>
          <w:iCs/>
          <w:color w:val="000000"/>
          <w:sz w:val="22"/>
          <w:szCs w:val="22"/>
          <w:lang w:val="ru-RU"/>
        </w:rPr>
      </w:pPr>
      <w:bookmarkStart w:id="0" w:name="_Toc439675051"/>
      <w:r w:rsidRPr="00A26CAE">
        <w:rPr>
          <w:rFonts w:ascii="Arial" w:hAnsi="Arial" w:cs="Arial"/>
          <w:color w:val="000000"/>
          <w:sz w:val="22"/>
          <w:szCs w:val="22"/>
          <w:lang w:val="ru-RU"/>
        </w:rPr>
        <w:t>Межправительственная океанографическая комиссия</w:t>
      </w:r>
      <w:bookmarkEnd w:id="0"/>
      <w:r w:rsidRPr="00A26CAE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</w:p>
    <w:p w14:paraId="7ECB6F8F" w14:textId="77777777" w:rsidR="00A26CAE" w:rsidRPr="00A26CAE" w:rsidRDefault="00A26CAE" w:rsidP="001C4F20">
      <w:pPr>
        <w:numPr>
          <w:ilvl w:val="0"/>
          <w:numId w:val="22"/>
        </w:numPr>
        <w:tabs>
          <w:tab w:val="clear" w:pos="567"/>
          <w:tab w:val="left" w:pos="-737"/>
        </w:tabs>
        <w:spacing w:after="240"/>
        <w:ind w:left="0" w:hanging="709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t>изучив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 документы: </w:t>
      </w:r>
    </w:p>
    <w:p w14:paraId="5D83B9A8" w14:textId="77777777" w:rsidR="00A26CAE" w:rsidRPr="00BD24DB" w:rsidRDefault="00CC02B8" w:rsidP="001C4F20">
      <w:pPr>
        <w:numPr>
          <w:ilvl w:val="1"/>
          <w:numId w:val="4"/>
        </w:numPr>
        <w:tabs>
          <w:tab w:val="clear" w:pos="567"/>
          <w:tab w:val="left" w:pos="-737"/>
        </w:tabs>
        <w:spacing w:after="240"/>
        <w:ind w:left="1134" w:hanging="567"/>
        <w:jc w:val="both"/>
        <w:rPr>
          <w:rFonts w:ascii="Arial" w:eastAsia="Calibri" w:hAnsi="Arial" w:cs="Arial"/>
          <w:sz w:val="22"/>
          <w:szCs w:val="22"/>
          <w:lang w:val="ru-RU"/>
        </w:rPr>
      </w:pPr>
      <w:hyperlink r:id="rId8" w:history="1"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IOC</w:t>
        </w:r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/</w:t>
        </w:r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A</w:t>
        </w:r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-31/3.2.</w:t>
        </w:r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Doc</w:t>
        </w:r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(2)</w:t>
        </w:r>
      </w:hyperlink>
      <w:r w:rsidR="00A26CAE" w:rsidRPr="00A26CAE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="00BD24DB">
        <w:rPr>
          <w:rFonts w:ascii="Arial" w:eastAsia="Calibri" w:hAnsi="Arial" w:cs="Arial"/>
          <w:sz w:val="22"/>
          <w:szCs w:val="22"/>
          <w:lang w:val="ru-RU"/>
        </w:rPr>
        <w:t>–</w:t>
      </w:r>
      <w:r w:rsidR="00A26CAE" w:rsidRPr="00A26CAE">
        <w:rPr>
          <w:rFonts w:ascii="Arial" w:eastAsia="Calibri" w:hAnsi="Arial" w:cs="Arial"/>
          <w:sz w:val="22"/>
          <w:szCs w:val="22"/>
          <w:lang w:val="ru-RU"/>
        </w:rPr>
        <w:t xml:space="preserve"> Доклад об исполнении бюджета на 2020</w:t>
      </w:r>
      <w:r w:rsidR="00BD24DB">
        <w:rPr>
          <w:rFonts w:ascii="Arial" w:eastAsia="Calibri" w:hAnsi="Arial" w:cs="Arial"/>
          <w:sz w:val="22"/>
          <w:szCs w:val="22"/>
          <w:lang w:val="ru-RU"/>
        </w:rPr>
        <w:t>-</w:t>
      </w:r>
      <w:r w:rsidR="00A26CAE" w:rsidRPr="00A26CAE">
        <w:rPr>
          <w:rFonts w:ascii="Arial" w:eastAsia="Calibri" w:hAnsi="Arial" w:cs="Arial"/>
          <w:sz w:val="22"/>
          <w:szCs w:val="22"/>
          <w:lang w:val="ru-RU"/>
        </w:rPr>
        <w:t xml:space="preserve">2021 гг. </w:t>
      </w:r>
      <w:r w:rsidR="00A26CAE" w:rsidRPr="00BD24DB">
        <w:rPr>
          <w:rFonts w:ascii="Arial" w:eastAsia="Calibri" w:hAnsi="Arial" w:cs="Arial"/>
          <w:sz w:val="22"/>
          <w:szCs w:val="22"/>
          <w:lang w:val="ru-RU"/>
        </w:rPr>
        <w:t>(40</w:t>
      </w:r>
      <w:r w:rsidR="00BD24DB">
        <w:rPr>
          <w:rFonts w:ascii="Arial" w:eastAsia="Calibri" w:hAnsi="Arial" w:cs="Arial"/>
          <w:sz w:val="22"/>
          <w:szCs w:val="22"/>
          <w:lang w:val="ru-RU"/>
        </w:rPr>
        <w:t> </w:t>
      </w:r>
      <w:r w:rsidR="00A26CAE" w:rsidRPr="00BD24DB">
        <w:rPr>
          <w:rFonts w:ascii="Arial" w:eastAsia="Calibri" w:hAnsi="Arial" w:cs="Arial"/>
          <w:sz w:val="22"/>
          <w:szCs w:val="22"/>
          <w:lang w:val="ru-RU"/>
        </w:rPr>
        <w:t xml:space="preserve">С/5) </w:t>
      </w:r>
      <w:r w:rsidR="00A26CAE" w:rsidRPr="00A26CAE">
        <w:rPr>
          <w:rFonts w:ascii="Arial" w:eastAsia="Calibri" w:hAnsi="Arial" w:cs="Arial"/>
          <w:sz w:val="22"/>
          <w:szCs w:val="22"/>
          <w:lang w:val="ru-RU"/>
        </w:rPr>
        <w:t>по состоянию на 31 декабря 2020</w:t>
      </w:r>
      <w:r w:rsidR="00A26CAE" w:rsidRPr="00BD24DB">
        <w:rPr>
          <w:rFonts w:ascii="Arial" w:eastAsia="Calibri" w:hAnsi="Arial" w:cs="Arial"/>
          <w:sz w:val="22"/>
          <w:szCs w:val="22"/>
          <w:lang w:val="ru-RU"/>
        </w:rPr>
        <w:t xml:space="preserve"> г.;</w:t>
      </w:r>
    </w:p>
    <w:p w14:paraId="217653D9" w14:textId="77777777" w:rsidR="00A26CAE" w:rsidRPr="00A26CAE" w:rsidRDefault="00CC02B8" w:rsidP="001C4F20">
      <w:pPr>
        <w:numPr>
          <w:ilvl w:val="1"/>
          <w:numId w:val="4"/>
        </w:numPr>
        <w:tabs>
          <w:tab w:val="clear" w:pos="567"/>
          <w:tab w:val="left" w:pos="-737"/>
        </w:tabs>
        <w:spacing w:after="240"/>
        <w:ind w:left="1134" w:hanging="567"/>
        <w:jc w:val="both"/>
        <w:rPr>
          <w:rFonts w:ascii="Arial" w:eastAsia="Calibri" w:hAnsi="Arial" w:cs="Arial"/>
          <w:sz w:val="22"/>
          <w:szCs w:val="22"/>
          <w:lang w:val="ru-RU"/>
        </w:rPr>
      </w:pPr>
      <w:hyperlink r:id="rId9" w:history="1"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IOC</w:t>
        </w:r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/</w:t>
        </w:r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A</w:t>
        </w:r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-31/3.2.</w:t>
        </w:r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Doc</w:t>
        </w:r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(3)</w:t>
        </w:r>
      </w:hyperlink>
      <w:r w:rsidR="00A26CAE" w:rsidRPr="00A26CAE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="00BD24DB">
        <w:rPr>
          <w:rFonts w:ascii="Arial" w:eastAsia="Calibri" w:hAnsi="Arial" w:cs="Arial"/>
          <w:sz w:val="22"/>
          <w:szCs w:val="22"/>
          <w:lang w:val="ru-RU"/>
        </w:rPr>
        <w:t>–</w:t>
      </w:r>
      <w:r w:rsidR="00A26CAE" w:rsidRPr="00A26CAE">
        <w:rPr>
          <w:rFonts w:ascii="Arial" w:eastAsia="Calibri" w:hAnsi="Arial" w:cs="Arial"/>
          <w:sz w:val="22"/>
          <w:szCs w:val="22"/>
          <w:lang w:val="ru-RU"/>
        </w:rPr>
        <w:t xml:space="preserve"> Финансовое положение специального счета МОК по состоянию на конец 2020 г. и прогноз на 2021 г.;</w:t>
      </w:r>
    </w:p>
    <w:p w14:paraId="537B824C" w14:textId="77777777" w:rsidR="00A26CAE" w:rsidRPr="00A26CAE" w:rsidRDefault="00CC02B8" w:rsidP="001C4F20">
      <w:pPr>
        <w:numPr>
          <w:ilvl w:val="1"/>
          <w:numId w:val="4"/>
        </w:numPr>
        <w:tabs>
          <w:tab w:val="clear" w:pos="567"/>
          <w:tab w:val="left" w:pos="-737"/>
        </w:tabs>
        <w:spacing w:after="240"/>
        <w:ind w:left="1134" w:hanging="567"/>
        <w:jc w:val="both"/>
        <w:rPr>
          <w:rFonts w:ascii="Arial" w:eastAsia="Calibri" w:hAnsi="Arial" w:cs="Arial"/>
          <w:sz w:val="22"/>
          <w:szCs w:val="22"/>
          <w:lang w:val="ru-RU"/>
        </w:rPr>
      </w:pPr>
      <w:hyperlink r:id="rId10" w:history="1"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IOC</w:t>
        </w:r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/</w:t>
        </w:r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A</w:t>
        </w:r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-31/4.1.</w:t>
        </w:r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Doc</w:t>
        </w:r>
      </w:hyperlink>
      <w:r w:rsidR="00A26CAE" w:rsidRPr="00A26CAE">
        <w:rPr>
          <w:rFonts w:ascii="Arial" w:hAnsi="Arial" w:cs="Arial"/>
          <w:sz w:val="22"/>
          <w:szCs w:val="22"/>
          <w:lang w:val="ru-RU"/>
        </w:rPr>
        <w:t xml:space="preserve"> </w:t>
      </w:r>
      <w:r w:rsidR="00BD24DB">
        <w:rPr>
          <w:rFonts w:ascii="Arial" w:hAnsi="Arial" w:cs="Arial"/>
          <w:sz w:val="22"/>
          <w:szCs w:val="22"/>
          <w:lang w:val="ru-RU"/>
        </w:rPr>
        <w:t>–</w:t>
      </w:r>
      <w:r w:rsidR="00A26CAE" w:rsidRPr="00A26CAE">
        <w:rPr>
          <w:rFonts w:ascii="Arial" w:hAnsi="Arial" w:cs="Arial"/>
          <w:sz w:val="22"/>
          <w:szCs w:val="22"/>
          <w:lang w:val="ru-RU"/>
        </w:rPr>
        <w:t xml:space="preserve"> </w:t>
      </w:r>
      <w:r w:rsidR="00A26CAE" w:rsidRPr="00A26CAE">
        <w:rPr>
          <w:rFonts w:ascii="Arial" w:hAnsi="Arial" w:cs="Arial"/>
          <w:color w:val="000000"/>
          <w:sz w:val="22"/>
          <w:szCs w:val="22"/>
          <w:lang w:val="ru-RU"/>
        </w:rPr>
        <w:t>Проект Среднесрочной стратегии МОК на 2022</w:t>
      </w:r>
      <w:r w:rsidR="00BD24DB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A26CAE" w:rsidRPr="00A26CAE">
        <w:rPr>
          <w:rFonts w:ascii="Arial" w:hAnsi="Arial" w:cs="Arial"/>
          <w:color w:val="000000"/>
          <w:sz w:val="22"/>
          <w:szCs w:val="22"/>
          <w:lang w:val="ru-RU"/>
        </w:rPr>
        <w:t>2029 гг. (41</w:t>
      </w:r>
      <w:r w:rsidR="001C4F20">
        <w:rPr>
          <w:rFonts w:ascii="Arial" w:hAnsi="Arial" w:cs="Arial"/>
          <w:color w:val="000000"/>
          <w:sz w:val="22"/>
          <w:szCs w:val="22"/>
          <w:lang w:val="ru-RU"/>
        </w:rPr>
        <w:t> </w:t>
      </w:r>
      <w:r w:rsidR="00A26CAE" w:rsidRPr="00A26CAE">
        <w:rPr>
          <w:rFonts w:ascii="Arial" w:hAnsi="Arial" w:cs="Arial"/>
          <w:color w:val="000000"/>
          <w:sz w:val="22"/>
          <w:szCs w:val="22"/>
          <w:lang w:val="ru-RU"/>
        </w:rPr>
        <w:t>С/4);</w:t>
      </w:r>
    </w:p>
    <w:p w14:paraId="44428EFA" w14:textId="77777777" w:rsidR="00A26CAE" w:rsidRPr="00A26CAE" w:rsidRDefault="00CC02B8" w:rsidP="001C4F20">
      <w:pPr>
        <w:numPr>
          <w:ilvl w:val="1"/>
          <w:numId w:val="4"/>
        </w:numPr>
        <w:tabs>
          <w:tab w:val="clear" w:pos="567"/>
          <w:tab w:val="left" w:pos="-737"/>
        </w:tabs>
        <w:spacing w:after="240"/>
        <w:ind w:left="1134" w:hanging="567"/>
        <w:jc w:val="both"/>
        <w:rPr>
          <w:rFonts w:ascii="Arial" w:eastAsia="Calibri" w:hAnsi="Arial" w:cs="Arial"/>
          <w:sz w:val="22"/>
          <w:szCs w:val="22"/>
          <w:lang w:val="ru-RU"/>
        </w:rPr>
      </w:pPr>
      <w:hyperlink r:id="rId11" w:history="1"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IOC</w:t>
        </w:r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/</w:t>
        </w:r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A</w:t>
        </w:r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-31/4.2.</w:t>
        </w:r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Doc</w:t>
        </w:r>
      </w:hyperlink>
      <w:r w:rsidR="00A26CAE" w:rsidRPr="00A26CAE">
        <w:rPr>
          <w:lang w:val="ru-RU"/>
        </w:rPr>
        <w:t xml:space="preserve"> </w:t>
      </w:r>
      <w:r w:rsidR="00BD24DB">
        <w:rPr>
          <w:lang w:val="ru-RU"/>
        </w:rPr>
        <w:t>–</w:t>
      </w:r>
      <w:r w:rsidR="00A26CAE" w:rsidRPr="00A26CAE">
        <w:rPr>
          <w:rFonts w:ascii="Arial" w:hAnsi="Arial" w:cs="Arial"/>
          <w:sz w:val="22"/>
          <w:szCs w:val="22"/>
          <w:lang w:val="ru-RU"/>
        </w:rPr>
        <w:t xml:space="preserve"> </w:t>
      </w:r>
      <w:r w:rsidR="00A26CAE" w:rsidRPr="00A26CAE">
        <w:rPr>
          <w:rFonts w:ascii="Arial" w:hAnsi="Arial" w:cs="Arial"/>
          <w:color w:val="000000"/>
          <w:sz w:val="22"/>
          <w:szCs w:val="22"/>
          <w:lang w:val="ru-RU"/>
        </w:rPr>
        <w:t>Проект программы и бюджета на 2022</w:t>
      </w:r>
      <w:r w:rsidR="00BD24DB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A26CAE" w:rsidRPr="00A26CAE">
        <w:rPr>
          <w:rFonts w:ascii="Arial" w:hAnsi="Arial" w:cs="Arial"/>
          <w:color w:val="000000"/>
          <w:sz w:val="22"/>
          <w:szCs w:val="22"/>
          <w:lang w:val="ru-RU"/>
        </w:rPr>
        <w:t xml:space="preserve">2025 гг. </w:t>
      </w:r>
      <w:r w:rsidR="00A26CAE" w:rsidRPr="00BD24DB">
        <w:rPr>
          <w:rFonts w:ascii="Arial" w:hAnsi="Arial" w:cs="Arial"/>
          <w:color w:val="000000"/>
          <w:sz w:val="22"/>
          <w:szCs w:val="22"/>
          <w:lang w:val="ru-RU"/>
        </w:rPr>
        <w:t>(41</w:t>
      </w:r>
      <w:r w:rsidR="00BD24DB">
        <w:rPr>
          <w:rFonts w:ascii="Arial" w:hAnsi="Arial" w:cs="Arial"/>
          <w:color w:val="000000"/>
          <w:sz w:val="22"/>
          <w:szCs w:val="22"/>
          <w:lang w:val="ru-RU"/>
        </w:rPr>
        <w:t> </w:t>
      </w:r>
      <w:r w:rsidR="00A26CAE" w:rsidRPr="00BD24DB">
        <w:rPr>
          <w:rFonts w:ascii="Arial" w:hAnsi="Arial" w:cs="Arial"/>
          <w:color w:val="000000"/>
          <w:sz w:val="22"/>
          <w:szCs w:val="22"/>
          <w:lang w:val="ru-RU"/>
        </w:rPr>
        <w:t>С/5)</w:t>
      </w:r>
      <w:r w:rsidR="00BD24DB">
        <w:rPr>
          <w:rFonts w:ascii="Arial" w:hAnsi="Arial" w:cs="Arial"/>
          <w:color w:val="000000"/>
          <w:sz w:val="22"/>
          <w:szCs w:val="22"/>
          <w:lang w:val="ru-RU"/>
        </w:rPr>
        <w:t> –</w:t>
      </w:r>
      <w:r w:rsidR="00A26CAE" w:rsidRPr="00BD24D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26CAE" w:rsidRPr="00A26CAE">
        <w:rPr>
          <w:rFonts w:ascii="Arial" w:hAnsi="Arial" w:cs="Arial"/>
          <w:color w:val="000000"/>
          <w:sz w:val="22"/>
          <w:szCs w:val="22"/>
          <w:lang w:val="ru-RU"/>
        </w:rPr>
        <w:t>первый двухлетний период</w:t>
      </w:r>
      <w:r w:rsidR="00A26CAE" w:rsidRPr="00BD24DB">
        <w:rPr>
          <w:rFonts w:ascii="Arial" w:hAnsi="Arial" w:cs="Arial"/>
          <w:color w:val="000000"/>
          <w:sz w:val="22"/>
          <w:szCs w:val="22"/>
          <w:lang w:val="ru-RU"/>
        </w:rPr>
        <w:t xml:space="preserve"> 2022</w:t>
      </w:r>
      <w:r w:rsidR="00BD24DB">
        <w:rPr>
          <w:rFonts w:ascii="Arial" w:hAnsi="Arial" w:cs="Arial"/>
          <w:color w:val="000000"/>
          <w:sz w:val="22"/>
          <w:szCs w:val="22"/>
          <w:lang w:val="ru-RU"/>
        </w:rPr>
        <w:t>-</w:t>
      </w:r>
      <w:r w:rsidR="00A26CAE" w:rsidRPr="00BD24DB">
        <w:rPr>
          <w:rFonts w:ascii="Arial" w:hAnsi="Arial" w:cs="Arial"/>
          <w:color w:val="000000"/>
          <w:sz w:val="22"/>
          <w:szCs w:val="22"/>
          <w:lang w:val="ru-RU"/>
        </w:rPr>
        <w:t>2023 гг.;</w:t>
      </w:r>
    </w:p>
    <w:p w14:paraId="4873DFD7" w14:textId="77777777" w:rsidR="00A26CAE" w:rsidRPr="00A26CAE" w:rsidRDefault="00CC02B8" w:rsidP="001C4F20">
      <w:pPr>
        <w:numPr>
          <w:ilvl w:val="1"/>
          <w:numId w:val="4"/>
        </w:numPr>
        <w:tabs>
          <w:tab w:val="clear" w:pos="567"/>
          <w:tab w:val="left" w:pos="-737"/>
        </w:tabs>
        <w:spacing w:after="240"/>
        <w:ind w:left="1134" w:hanging="567"/>
        <w:jc w:val="both"/>
        <w:rPr>
          <w:rFonts w:ascii="Arial" w:eastAsia="Calibri" w:hAnsi="Arial" w:cs="Arial"/>
          <w:sz w:val="22"/>
          <w:szCs w:val="22"/>
          <w:lang w:val="ru-RU"/>
        </w:rPr>
      </w:pPr>
      <w:hyperlink r:id="rId12" w:history="1"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IOC</w:t>
        </w:r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/</w:t>
        </w:r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A</w:t>
        </w:r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-31/4.3.</w:t>
        </w:r>
        <w:r w:rsidR="00A26CAE"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Doc</w:t>
        </w:r>
      </w:hyperlink>
      <w:r w:rsidR="00A26CAE" w:rsidRPr="00A26CAE">
        <w:rPr>
          <w:lang w:val="ru-RU"/>
        </w:rPr>
        <w:t xml:space="preserve"> </w:t>
      </w:r>
      <w:r w:rsidR="00BD24DB">
        <w:rPr>
          <w:rFonts w:ascii="Arial" w:hAnsi="Arial" w:cs="Arial"/>
          <w:sz w:val="22"/>
          <w:szCs w:val="22"/>
          <w:lang w:val="ru-RU"/>
        </w:rPr>
        <w:t>–</w:t>
      </w:r>
      <w:r w:rsidR="00A26CAE" w:rsidRPr="00A26CAE">
        <w:rPr>
          <w:rFonts w:ascii="Arial" w:hAnsi="Arial" w:cs="Arial"/>
          <w:sz w:val="22"/>
          <w:szCs w:val="22"/>
          <w:lang w:val="ru-RU"/>
        </w:rPr>
        <w:t xml:space="preserve"> </w:t>
      </w:r>
      <w:r w:rsidR="00A26CAE" w:rsidRPr="00A26CAE">
        <w:rPr>
          <w:rFonts w:ascii="Arial" w:hAnsi="Arial" w:cs="Arial"/>
          <w:color w:val="000000"/>
          <w:sz w:val="22"/>
          <w:szCs w:val="22"/>
          <w:lang w:val="ru-RU"/>
        </w:rPr>
        <w:t>Доклад председателя межсессионной финансовой консультативной группы МОК (2021 г.).</w:t>
      </w:r>
    </w:p>
    <w:p w14:paraId="205F1ED6" w14:textId="77777777" w:rsidR="00A26CAE" w:rsidRPr="00A26CAE" w:rsidRDefault="00A26CAE" w:rsidP="00BD24DB">
      <w:pPr>
        <w:numPr>
          <w:ilvl w:val="2"/>
          <w:numId w:val="4"/>
        </w:numPr>
        <w:spacing w:after="240"/>
        <w:ind w:left="0" w:firstLine="0"/>
        <w:jc w:val="center"/>
        <w:rPr>
          <w:rFonts w:ascii="Arial" w:eastAsia="Calibri" w:hAnsi="Arial" w:cs="Arial"/>
          <w:b/>
          <w:bCs/>
          <w:sz w:val="22"/>
          <w:szCs w:val="22"/>
          <w:lang w:val="ru-RU"/>
        </w:rPr>
      </w:pP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t>Исполнение бюджета на 2020</w:t>
      </w:r>
      <w:r w:rsidR="00B04AD7">
        <w:rPr>
          <w:rFonts w:ascii="Arial" w:eastAsia="Calibri" w:hAnsi="Arial" w:cs="Arial"/>
          <w:b/>
          <w:bCs/>
          <w:sz w:val="22"/>
          <w:szCs w:val="22"/>
          <w:lang w:val="ru-RU"/>
        </w:rPr>
        <w:t>-</w:t>
      </w: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t xml:space="preserve">2021 гг. по состоянию на 31 декабря 2020 г. </w:t>
      </w:r>
      <w:r w:rsidRPr="00A26CAE">
        <w:rPr>
          <w:rFonts w:ascii="Arial" w:eastAsia="Calibri" w:hAnsi="Arial" w:cs="Arial"/>
          <w:sz w:val="22"/>
          <w:szCs w:val="22"/>
          <w:lang w:val="ru-RU"/>
        </w:rPr>
        <w:br/>
      </w: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t>и финансовое положение специального счета МОК</w:t>
      </w:r>
      <w:r w:rsidR="00BD24DB">
        <w:rPr>
          <w:rFonts w:ascii="Arial" w:eastAsia="Calibri" w:hAnsi="Arial" w:cs="Arial"/>
          <w:b/>
          <w:bCs/>
          <w:sz w:val="22"/>
          <w:szCs w:val="22"/>
          <w:lang w:val="ru-RU"/>
        </w:rPr>
        <w:br/>
      </w: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t>по состоянию на конец 2020 г. и прогноз на 2021 г.</w:t>
      </w:r>
    </w:p>
    <w:p w14:paraId="7C2EC883" w14:textId="77777777" w:rsidR="00A26CAE" w:rsidRPr="00A26CAE" w:rsidRDefault="00A26CAE" w:rsidP="001C4F20">
      <w:pPr>
        <w:numPr>
          <w:ilvl w:val="0"/>
          <w:numId w:val="22"/>
        </w:numPr>
        <w:tabs>
          <w:tab w:val="clear" w:pos="567"/>
          <w:tab w:val="left" w:pos="-737"/>
        </w:tabs>
        <w:spacing w:after="240"/>
        <w:ind w:left="0" w:hanging="709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t>подтверждает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, что планы работы МОК на 2020</w:t>
      </w:r>
      <w:r w:rsidR="00BD24DB" w:rsidRPr="00BD24DB">
        <w:rPr>
          <w:rFonts w:ascii="Arial" w:eastAsia="Calibri" w:hAnsi="Arial" w:cs="Arial"/>
          <w:sz w:val="22"/>
          <w:szCs w:val="22"/>
          <w:lang w:val="ru-RU"/>
        </w:rPr>
        <w:t>-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2021 годы, представленные в документе</w:t>
      </w:r>
      <w:r w:rsidR="001C4F20">
        <w:rPr>
          <w:rFonts w:ascii="Arial" w:eastAsia="Calibri" w:hAnsi="Arial" w:cs="Arial"/>
          <w:sz w:val="22"/>
          <w:szCs w:val="22"/>
          <w:lang w:val="ru-RU"/>
        </w:rPr>
        <w:t> </w:t>
      </w:r>
      <w:r w:rsidRPr="00A26CAE">
        <w:rPr>
          <w:rFonts w:ascii="Arial" w:eastAsia="Calibri" w:hAnsi="Arial" w:cs="Arial"/>
          <w:sz w:val="22"/>
          <w:szCs w:val="22"/>
        </w:rPr>
        <w:t>IOC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/</w:t>
      </w:r>
      <w:r w:rsidRPr="00A26CAE">
        <w:rPr>
          <w:rFonts w:ascii="Arial" w:eastAsia="Calibri" w:hAnsi="Arial" w:cs="Arial"/>
          <w:sz w:val="22"/>
          <w:szCs w:val="22"/>
        </w:rPr>
        <w:t>A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-31/3.2.</w:t>
      </w:r>
      <w:r w:rsidRPr="00A26CAE">
        <w:rPr>
          <w:rFonts w:ascii="Arial" w:eastAsia="Calibri" w:hAnsi="Arial" w:cs="Arial"/>
          <w:sz w:val="22"/>
          <w:szCs w:val="22"/>
        </w:rPr>
        <w:t>Doc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(2), были выполнены в соответствии с бюджетными ассигнованиями, утвержденными Ассамблеей МОК на ее 30-й сессии в </w:t>
      </w:r>
      <w:hyperlink r:id="rId13" w:history="1"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 xml:space="preserve">резолюции 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XXX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-3</w:t>
        </w:r>
      </w:hyperlink>
      <w:r w:rsidRPr="00A26CAE">
        <w:rPr>
          <w:lang w:val="ru-RU"/>
        </w:rPr>
        <w:t>,</w:t>
      </w:r>
      <w:r w:rsidRPr="00A26CAE">
        <w:rPr>
          <w:rFonts w:ascii="Arial" w:hAnsi="Arial" w:cs="Arial"/>
          <w:sz w:val="22"/>
          <w:szCs w:val="22"/>
          <w:lang w:val="ru-RU"/>
        </w:rPr>
        <w:t xml:space="preserve"> как представлено в документе </w:t>
      </w:r>
      <w:hyperlink r:id="rId14" w:history="1"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IOC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-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XXX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 xml:space="preserve">/2 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Annex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 xml:space="preserve"> 9</w:t>
        </w:r>
      </w:hyperlink>
      <w:r w:rsidRPr="00A26CAE">
        <w:rPr>
          <w:rFonts w:ascii="Arial" w:eastAsia="Calibri" w:hAnsi="Arial" w:cs="Arial"/>
          <w:sz w:val="22"/>
          <w:szCs w:val="22"/>
          <w:lang w:val="ru-RU"/>
        </w:rPr>
        <w:t>;</w:t>
      </w:r>
    </w:p>
    <w:p w14:paraId="29CF4273" w14:textId="77777777" w:rsidR="00A26CAE" w:rsidRPr="00A26CAE" w:rsidRDefault="00A26CAE" w:rsidP="001C4F20">
      <w:pPr>
        <w:numPr>
          <w:ilvl w:val="0"/>
          <w:numId w:val="22"/>
        </w:numPr>
        <w:tabs>
          <w:tab w:val="clear" w:pos="567"/>
          <w:tab w:val="left" w:pos="-737"/>
        </w:tabs>
        <w:spacing w:after="240"/>
        <w:ind w:left="0" w:hanging="709"/>
        <w:jc w:val="both"/>
        <w:rPr>
          <w:rFonts w:ascii="Arial" w:eastAsia="Calibri" w:hAnsi="Arial" w:cs="Arial"/>
          <w:b/>
          <w:sz w:val="22"/>
          <w:szCs w:val="22"/>
          <w:lang w:val="ru-RU"/>
        </w:rPr>
      </w:pP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t xml:space="preserve">отмечает 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несколько более низкие, чем обычно, темпы исполнения бюджета в первый год двухлетнего периода 2020</w:t>
      </w:r>
      <w:r w:rsidR="00BD24DB" w:rsidRPr="00BD24DB">
        <w:rPr>
          <w:rFonts w:ascii="Arial" w:eastAsia="Calibri" w:hAnsi="Arial" w:cs="Arial"/>
          <w:sz w:val="22"/>
          <w:szCs w:val="22"/>
          <w:lang w:val="ru-RU"/>
        </w:rPr>
        <w:t>-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2021 гг. в связи с деятельностью в условиях пандемии </w:t>
      </w:r>
      <w:r w:rsidRPr="00A26CAE">
        <w:rPr>
          <w:rFonts w:ascii="Arial" w:eastAsia="Calibri" w:hAnsi="Arial" w:cs="Arial"/>
          <w:sz w:val="22"/>
          <w:szCs w:val="22"/>
        </w:rPr>
        <w:t>COVID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-19, а также намерение секретариата полностью выполнить двухлетнюю </w:t>
      </w:r>
      <w:r w:rsidRPr="00BD24DB">
        <w:rPr>
          <w:rFonts w:ascii="Arial" w:eastAsia="Calibri" w:hAnsi="Arial" w:cs="Arial"/>
          <w:sz w:val="22"/>
          <w:szCs w:val="22"/>
          <w:lang w:val="ru-RU"/>
        </w:rPr>
        <w:t>программу работы к концу</w:t>
      </w:r>
      <w:r w:rsidRPr="00A26CAE">
        <w:rPr>
          <w:rFonts w:ascii="Arial" w:eastAsia="Calibri" w:hAnsi="Arial" w:cs="Arial"/>
          <w:sz w:val="22"/>
          <w:szCs w:val="22"/>
        </w:rPr>
        <w:t xml:space="preserve"> 2021 г.;</w:t>
      </w:r>
    </w:p>
    <w:p w14:paraId="0F350F2C" w14:textId="77777777" w:rsidR="00A26CAE" w:rsidRPr="00A26CAE" w:rsidRDefault="00A26CAE" w:rsidP="001C4F20">
      <w:pPr>
        <w:numPr>
          <w:ilvl w:val="0"/>
          <w:numId w:val="22"/>
        </w:numPr>
        <w:tabs>
          <w:tab w:val="clear" w:pos="567"/>
          <w:tab w:val="left" w:pos="-737"/>
        </w:tabs>
        <w:spacing w:after="240"/>
        <w:ind w:left="0" w:hanging="709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lastRenderedPageBreak/>
        <w:t>отмечает также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, что по состоянию на 31 декабря 2020 г. цели по привлечению внебюджетных ресурсов, установленные на двухлетний период 2020</w:t>
      </w:r>
      <w:r w:rsidR="00BD24DB" w:rsidRPr="00BD24DB">
        <w:rPr>
          <w:rFonts w:ascii="Arial" w:eastAsia="Calibri" w:hAnsi="Arial" w:cs="Arial"/>
          <w:sz w:val="22"/>
          <w:szCs w:val="22"/>
          <w:lang w:val="ru-RU"/>
        </w:rPr>
        <w:t>-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2021 гг., были достигнуты в целом на уровне 76%, но со значительными различиями между функциями МОК;</w:t>
      </w:r>
    </w:p>
    <w:p w14:paraId="0193B2DA" w14:textId="77777777" w:rsidR="00A26CAE" w:rsidRPr="00A26CAE" w:rsidRDefault="00A26CAE" w:rsidP="001C4F20">
      <w:pPr>
        <w:numPr>
          <w:ilvl w:val="0"/>
          <w:numId w:val="22"/>
        </w:numPr>
        <w:tabs>
          <w:tab w:val="clear" w:pos="567"/>
          <w:tab w:val="left" w:pos="-737"/>
        </w:tabs>
        <w:spacing w:after="240"/>
        <w:ind w:left="0" w:hanging="709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t>принимает к сведению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 информацию о финансовом положении специального счета МОК по состоянию на конец 2020 г. и прогноз на 2021 г., представленные в документе</w:t>
      </w:r>
      <w:r w:rsidR="001C4F20">
        <w:rPr>
          <w:rFonts w:ascii="Arial" w:eastAsia="Calibri" w:hAnsi="Arial" w:cs="Arial"/>
          <w:sz w:val="22"/>
          <w:szCs w:val="22"/>
          <w:lang w:val="ru-RU"/>
        </w:rPr>
        <w:t> </w:t>
      </w:r>
      <w:hyperlink r:id="rId15" w:history="1"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IOC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/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A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-31/3.2.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Doc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(3</w:t>
        </w:r>
      </w:hyperlink>
      <w:r w:rsidRPr="00A26CAE">
        <w:rPr>
          <w:rFonts w:ascii="Arial" w:eastAsia="Calibri" w:hAnsi="Arial" w:cs="Arial"/>
          <w:sz w:val="22"/>
          <w:szCs w:val="22"/>
          <w:lang w:val="ru-RU"/>
        </w:rPr>
        <w:t>);</w:t>
      </w:r>
    </w:p>
    <w:p w14:paraId="1A40FA96" w14:textId="77777777" w:rsidR="00A26CAE" w:rsidRPr="00A26CAE" w:rsidRDefault="00A26CAE" w:rsidP="001C4F20">
      <w:pPr>
        <w:numPr>
          <w:ilvl w:val="0"/>
          <w:numId w:val="22"/>
        </w:numPr>
        <w:tabs>
          <w:tab w:val="clear" w:pos="567"/>
          <w:tab w:val="left" w:pos="-737"/>
        </w:tabs>
        <w:spacing w:after="240"/>
        <w:ind w:left="0" w:hanging="709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t>утверждает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 корректировки бюджетных ассигнований на 2020</w:t>
      </w:r>
      <w:r w:rsidR="00BD24DB" w:rsidRPr="00BD24DB">
        <w:rPr>
          <w:rFonts w:ascii="Arial" w:eastAsia="Calibri" w:hAnsi="Arial" w:cs="Arial"/>
          <w:sz w:val="22"/>
          <w:szCs w:val="22"/>
          <w:lang w:val="ru-RU"/>
        </w:rPr>
        <w:t>-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2021 гг., содержащиеся в таблице 1 документа </w:t>
      </w:r>
      <w:hyperlink r:id="rId16" w:history="1"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IOC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/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A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-31/3.2.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Doc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(3);</w:t>
        </w:r>
      </w:hyperlink>
    </w:p>
    <w:p w14:paraId="49DA1878" w14:textId="77777777" w:rsidR="00A26CAE" w:rsidRPr="00A26CAE" w:rsidRDefault="00A26CAE" w:rsidP="001C4F20">
      <w:pPr>
        <w:numPr>
          <w:ilvl w:val="0"/>
          <w:numId w:val="22"/>
        </w:numPr>
        <w:tabs>
          <w:tab w:val="clear" w:pos="567"/>
          <w:tab w:val="left" w:pos="-737"/>
        </w:tabs>
        <w:spacing w:after="240"/>
        <w:ind w:left="0" w:hanging="709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t>благодарит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 государства-члены, которые уже предоставили или обязались внести внебюджетные средства для осуществления программы на 2020</w:t>
      </w:r>
      <w:r w:rsidR="00BD24DB">
        <w:rPr>
          <w:rFonts w:ascii="Arial" w:eastAsia="Calibri" w:hAnsi="Arial" w:cs="Arial"/>
          <w:sz w:val="22"/>
          <w:szCs w:val="22"/>
          <w:lang w:val="ru-RU"/>
        </w:rPr>
        <w:t>-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2021 гг.; </w:t>
      </w:r>
    </w:p>
    <w:p w14:paraId="4EE99FFA" w14:textId="77777777" w:rsidR="00A26CAE" w:rsidRPr="00A26CAE" w:rsidRDefault="00A26CAE" w:rsidP="001C4F20">
      <w:pPr>
        <w:numPr>
          <w:ilvl w:val="0"/>
          <w:numId w:val="22"/>
        </w:numPr>
        <w:tabs>
          <w:tab w:val="clear" w:pos="567"/>
          <w:tab w:val="left" w:pos="-737"/>
        </w:tabs>
        <w:spacing w:after="240"/>
        <w:ind w:left="0" w:hanging="709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t>призывает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 все государства-члены вносить добровольные взносы в целях обеспечения полного достижения коллективно утвержденных целевых показателей привлечения внебюджетных ресурсов на 2020</w:t>
      </w:r>
      <w:r w:rsidR="00BD24DB">
        <w:rPr>
          <w:rFonts w:ascii="Arial" w:eastAsia="Calibri" w:hAnsi="Arial" w:cs="Arial"/>
          <w:sz w:val="22"/>
          <w:szCs w:val="22"/>
          <w:lang w:val="ru-RU"/>
        </w:rPr>
        <w:t>-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2021</w:t>
      </w:r>
      <w:r w:rsidR="00BD24DB">
        <w:rPr>
          <w:rFonts w:ascii="Arial" w:eastAsia="Calibri" w:hAnsi="Arial" w:cs="Arial"/>
          <w:sz w:val="22"/>
          <w:szCs w:val="22"/>
          <w:lang w:val="ru-RU"/>
        </w:rPr>
        <w:t> 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гг., желательно на специальный счет МОК;</w:t>
      </w:r>
    </w:p>
    <w:p w14:paraId="73AB1D06" w14:textId="77777777" w:rsidR="00A26CAE" w:rsidRPr="00A26CAE" w:rsidRDefault="00A26CAE" w:rsidP="001C4F20">
      <w:pPr>
        <w:numPr>
          <w:ilvl w:val="0"/>
          <w:numId w:val="22"/>
        </w:numPr>
        <w:tabs>
          <w:tab w:val="clear" w:pos="567"/>
          <w:tab w:val="left" w:pos="-737"/>
        </w:tabs>
        <w:spacing w:after="240"/>
        <w:ind w:left="0" w:hanging="709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t>просит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 Исполнительного секретаря МОК продолжать деятельность по дальнейшему привлечению добровольных взносов, в том числе от доноров из частного сектора и прочих партнеров, и достижению полного выполнения программных целевых показателей МОК на 2020</w:t>
      </w:r>
      <w:r w:rsidR="00BD24DB">
        <w:rPr>
          <w:rFonts w:ascii="Arial" w:eastAsia="Calibri" w:hAnsi="Arial" w:cs="Arial"/>
          <w:sz w:val="22"/>
          <w:szCs w:val="22"/>
          <w:lang w:val="ru-RU"/>
        </w:rPr>
        <w:t>-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2021 гг.;</w:t>
      </w:r>
    </w:p>
    <w:p w14:paraId="06855BE8" w14:textId="77777777" w:rsidR="00A26CAE" w:rsidRPr="00A26CAE" w:rsidRDefault="00A26CAE" w:rsidP="00BD24DB">
      <w:pPr>
        <w:numPr>
          <w:ilvl w:val="2"/>
          <w:numId w:val="4"/>
        </w:numPr>
        <w:spacing w:after="240"/>
        <w:ind w:left="0" w:firstLine="0"/>
        <w:jc w:val="center"/>
        <w:rPr>
          <w:rFonts w:ascii="Arial" w:eastAsia="Calibri" w:hAnsi="Arial" w:cs="Arial"/>
          <w:b/>
          <w:bCs/>
          <w:sz w:val="22"/>
          <w:szCs w:val="22"/>
          <w:lang w:val="ru-RU"/>
        </w:rPr>
      </w:pP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t>Проект среднесрочной стратегии на 2022-2029</w:t>
      </w:r>
      <w:r w:rsidRPr="00A26CAE">
        <w:rPr>
          <w:rFonts w:ascii="Arial" w:eastAsia="Calibri" w:hAnsi="Arial" w:cs="Arial"/>
          <w:b/>
          <w:bCs/>
          <w:sz w:val="22"/>
          <w:szCs w:val="22"/>
        </w:rPr>
        <w:t> </w:t>
      </w: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t>гг.</w:t>
      </w:r>
    </w:p>
    <w:p w14:paraId="452375F9" w14:textId="77777777" w:rsidR="00A26CAE" w:rsidRPr="00A26CAE" w:rsidRDefault="00A26CAE" w:rsidP="001C4F20">
      <w:pPr>
        <w:numPr>
          <w:ilvl w:val="0"/>
          <w:numId w:val="22"/>
        </w:numPr>
        <w:tabs>
          <w:tab w:val="clear" w:pos="567"/>
          <w:tab w:val="left" w:pos="-737"/>
        </w:tabs>
        <w:spacing w:after="240"/>
        <w:ind w:left="0" w:hanging="709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t xml:space="preserve">одобряет 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поправки и усовершенствования, внесенные секретариатом в проект среднесрочной стратегии МОК на 2022</w:t>
      </w:r>
      <w:r w:rsidR="00BD24DB">
        <w:rPr>
          <w:rFonts w:ascii="Arial" w:eastAsia="Calibri" w:hAnsi="Arial" w:cs="Arial"/>
          <w:sz w:val="22"/>
          <w:szCs w:val="22"/>
          <w:lang w:val="ru-RU"/>
        </w:rPr>
        <w:t>-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2029</w:t>
      </w:r>
      <w:r w:rsidRPr="00A26CAE">
        <w:rPr>
          <w:rFonts w:ascii="Arial" w:eastAsia="Calibri" w:hAnsi="Arial" w:cs="Arial"/>
          <w:sz w:val="22"/>
          <w:szCs w:val="22"/>
        </w:rPr>
        <w:t> 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гг., в ответ на рекомендации, представленные на 53-й сессии Исполнительного совета МОК в </w:t>
      </w:r>
      <w:hyperlink r:id="rId17" w:history="1"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 xml:space="preserve">резолюции 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EC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-53/2</w:t>
        </w:r>
      </w:hyperlink>
      <w:r w:rsidRPr="00A26CAE">
        <w:rPr>
          <w:rFonts w:ascii="Arial" w:eastAsia="Calibri" w:hAnsi="Arial" w:cs="Arial"/>
          <w:sz w:val="22"/>
          <w:szCs w:val="22"/>
          <w:lang w:val="ru-RU"/>
        </w:rPr>
        <w:t>;</w:t>
      </w:r>
    </w:p>
    <w:p w14:paraId="7C71AF1D" w14:textId="7641ED1C" w:rsidR="00A26CAE" w:rsidRPr="00A26CAE" w:rsidRDefault="00A26CAE" w:rsidP="001C4F20">
      <w:pPr>
        <w:numPr>
          <w:ilvl w:val="0"/>
          <w:numId w:val="22"/>
        </w:numPr>
        <w:tabs>
          <w:tab w:val="clear" w:pos="567"/>
          <w:tab w:val="left" w:pos="-737"/>
        </w:tabs>
        <w:spacing w:after="240"/>
        <w:ind w:left="0" w:hanging="709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26CAE">
        <w:rPr>
          <w:rFonts w:ascii="Arial" w:eastAsia="Calibri" w:hAnsi="Arial" w:cs="Arial"/>
          <w:b/>
          <w:bCs/>
          <w:iCs/>
          <w:sz w:val="22"/>
          <w:szCs w:val="22"/>
          <w:lang w:val="ru-RU"/>
        </w:rPr>
        <w:t xml:space="preserve">одобряет </w:t>
      </w:r>
      <w:r w:rsidRPr="00A26CAE">
        <w:rPr>
          <w:rFonts w:ascii="Arial" w:eastAsia="Calibri" w:hAnsi="Arial" w:cs="Arial"/>
          <w:iCs/>
          <w:sz w:val="22"/>
          <w:szCs w:val="22"/>
          <w:lang w:val="ru-RU"/>
        </w:rPr>
        <w:t>среднесрочную стратегию МОК на 2022-2029 гг. с поправками к документу</w:t>
      </w:r>
      <w:r w:rsidR="001C4F20">
        <w:rPr>
          <w:rFonts w:ascii="Arial" w:eastAsia="Calibri" w:hAnsi="Arial" w:cs="Arial"/>
          <w:iCs/>
          <w:sz w:val="22"/>
          <w:szCs w:val="22"/>
          <w:lang w:val="ru-RU"/>
        </w:rPr>
        <w:t> </w:t>
      </w:r>
      <w:r w:rsidRPr="00A26CAE">
        <w:rPr>
          <w:rFonts w:ascii="Arial" w:eastAsia="Calibri" w:hAnsi="Arial" w:cs="Arial"/>
          <w:iCs/>
          <w:color w:val="0000FF"/>
          <w:sz w:val="22"/>
          <w:szCs w:val="22"/>
          <w:u w:val="single"/>
        </w:rPr>
        <w:t>IOC</w:t>
      </w:r>
      <w:r w:rsidRPr="00A26CAE">
        <w:rPr>
          <w:rFonts w:ascii="Arial" w:eastAsia="Calibri" w:hAnsi="Arial" w:cs="Arial"/>
          <w:iCs/>
          <w:color w:val="0000FF"/>
          <w:sz w:val="22"/>
          <w:szCs w:val="22"/>
          <w:u w:val="single"/>
          <w:lang w:val="ru-RU"/>
        </w:rPr>
        <w:t>/</w:t>
      </w:r>
      <w:r w:rsidRPr="00A26CAE">
        <w:rPr>
          <w:rFonts w:ascii="Arial" w:eastAsia="Calibri" w:hAnsi="Arial" w:cs="Arial"/>
          <w:iCs/>
          <w:color w:val="0000FF"/>
          <w:sz w:val="22"/>
          <w:szCs w:val="22"/>
          <w:u w:val="single"/>
        </w:rPr>
        <w:t>A</w:t>
      </w:r>
      <w:r w:rsidRPr="00A26CAE">
        <w:rPr>
          <w:rFonts w:ascii="Arial" w:eastAsia="Calibri" w:hAnsi="Arial" w:cs="Arial"/>
          <w:iCs/>
          <w:color w:val="0000FF"/>
          <w:sz w:val="22"/>
          <w:szCs w:val="22"/>
          <w:u w:val="single"/>
          <w:lang w:val="ru-RU"/>
        </w:rPr>
        <w:t>-31/4.1.</w:t>
      </w:r>
      <w:r w:rsidRPr="00A26CAE">
        <w:rPr>
          <w:rFonts w:ascii="Arial" w:eastAsia="Calibri" w:hAnsi="Arial" w:cs="Arial"/>
          <w:iCs/>
          <w:color w:val="0000FF"/>
          <w:sz w:val="22"/>
          <w:szCs w:val="22"/>
          <w:u w:val="single"/>
        </w:rPr>
        <w:t>Doc</w:t>
      </w:r>
      <w:r w:rsidRPr="00A26CAE">
        <w:rPr>
          <w:rFonts w:ascii="Arial" w:eastAsia="Calibri" w:hAnsi="Arial" w:cs="Arial"/>
          <w:iCs/>
          <w:sz w:val="22"/>
          <w:szCs w:val="22"/>
          <w:lang w:val="ru-RU"/>
        </w:rPr>
        <w:t xml:space="preserve">, содержащемуся в приложении </w:t>
      </w:r>
      <w:r w:rsidRPr="00A26CAE">
        <w:rPr>
          <w:rFonts w:ascii="Arial" w:eastAsia="Calibri" w:hAnsi="Arial" w:cs="Arial"/>
          <w:iCs/>
          <w:sz w:val="22"/>
          <w:szCs w:val="22"/>
        </w:rPr>
        <w:t>I</w:t>
      </w:r>
      <w:r w:rsidRPr="00A26CAE">
        <w:rPr>
          <w:rFonts w:ascii="Arial" w:eastAsia="Calibri" w:hAnsi="Arial" w:cs="Arial"/>
          <w:iCs/>
          <w:sz w:val="22"/>
          <w:szCs w:val="22"/>
          <w:lang w:val="ru-RU"/>
        </w:rPr>
        <w:t xml:space="preserve"> к настоящей резолюции; </w:t>
      </w:r>
    </w:p>
    <w:p w14:paraId="3057EDB0" w14:textId="77777777" w:rsidR="00A26CAE" w:rsidRPr="00A26CAE" w:rsidRDefault="00A26CAE" w:rsidP="00BD24DB">
      <w:pPr>
        <w:numPr>
          <w:ilvl w:val="2"/>
          <w:numId w:val="4"/>
        </w:numPr>
        <w:spacing w:after="240"/>
        <w:ind w:left="0" w:firstLine="0"/>
        <w:jc w:val="center"/>
        <w:rPr>
          <w:rFonts w:ascii="Arial" w:eastAsia="Calibri" w:hAnsi="Arial" w:cs="Arial"/>
          <w:b/>
          <w:bCs/>
          <w:sz w:val="22"/>
          <w:szCs w:val="22"/>
          <w:lang w:val="ru-RU"/>
        </w:rPr>
      </w:pP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t>Проект программы и бюджета на 2022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–</w:t>
      </w: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t>2025</w:t>
      </w:r>
      <w:r w:rsidRPr="00A26CAE">
        <w:rPr>
          <w:rFonts w:ascii="Arial" w:eastAsia="Calibri" w:hAnsi="Arial" w:cs="Arial"/>
          <w:b/>
          <w:bCs/>
          <w:sz w:val="22"/>
          <w:szCs w:val="22"/>
        </w:rPr>
        <w:t> </w:t>
      </w: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t>гг.</w:t>
      </w:r>
    </w:p>
    <w:p w14:paraId="3846400C" w14:textId="5A324BF9" w:rsidR="00A26CAE" w:rsidRPr="00A26CAE" w:rsidRDefault="00A26CAE" w:rsidP="001C4F20">
      <w:pPr>
        <w:numPr>
          <w:ilvl w:val="0"/>
          <w:numId w:val="22"/>
        </w:numPr>
        <w:tabs>
          <w:tab w:val="clear" w:pos="567"/>
          <w:tab w:val="left" w:pos="-737"/>
        </w:tabs>
        <w:spacing w:after="240"/>
        <w:ind w:left="0" w:hanging="709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t>выражает признательность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 секретариату МОК за предложение, содержащееся в документе </w:t>
      </w:r>
      <w:hyperlink r:id="rId18" w:history="1"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IOC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/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A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-31/4.2.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Doc</w:t>
        </w:r>
      </w:hyperlink>
      <w:r w:rsidRPr="008B14E7">
        <w:rPr>
          <w:rFonts w:asciiTheme="minorBidi" w:eastAsia="Calibri" w:hAnsiTheme="minorBidi" w:cstheme="minorBidi"/>
          <w:color w:val="0070C0"/>
          <w:sz w:val="22"/>
          <w:szCs w:val="22"/>
          <w:lang w:val="ru-RU"/>
        </w:rPr>
        <w:t>,</w:t>
      </w:r>
      <w:r w:rsidRPr="008B14E7">
        <w:rPr>
          <w:rFonts w:ascii="Arial" w:eastAsia="Calibri" w:hAnsi="Arial" w:cs="Arial"/>
          <w:color w:val="0070C0"/>
          <w:sz w:val="22"/>
          <w:szCs w:val="22"/>
          <w:lang w:val="ru-RU"/>
        </w:rPr>
        <w:t xml:space="preserve"> 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как соответствующее руководящим принципам, установленным в </w:t>
      </w:r>
      <w:hyperlink r:id="rId19" w:history="1"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 xml:space="preserve">резолюции 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EC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-53/2</w:t>
        </w:r>
      </w:hyperlink>
      <w:r w:rsidRPr="00A26CAE">
        <w:rPr>
          <w:rFonts w:ascii="Arial" w:eastAsia="Calibri" w:hAnsi="Arial" w:cs="Arial"/>
          <w:sz w:val="22"/>
          <w:szCs w:val="22"/>
          <w:lang w:val="ru-RU"/>
        </w:rPr>
        <w:t>, и целям высокого уровня, определенным в проекте среднесрочной стратегии МОК на 2022</w:t>
      </w:r>
      <w:r w:rsidR="00BD24DB">
        <w:rPr>
          <w:rFonts w:ascii="Arial" w:eastAsia="Calibri" w:hAnsi="Arial" w:cs="Arial"/>
          <w:sz w:val="22"/>
          <w:szCs w:val="22"/>
          <w:lang w:val="ru-RU"/>
        </w:rPr>
        <w:t>-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2029 гг.;</w:t>
      </w:r>
    </w:p>
    <w:p w14:paraId="7A13CE4B" w14:textId="77777777" w:rsidR="00A26CAE" w:rsidRPr="00A26CAE" w:rsidRDefault="00A26CAE" w:rsidP="001C4F20">
      <w:pPr>
        <w:numPr>
          <w:ilvl w:val="0"/>
          <w:numId w:val="22"/>
        </w:numPr>
        <w:tabs>
          <w:tab w:val="clear" w:pos="567"/>
          <w:tab w:val="left" w:pos="-737"/>
        </w:tabs>
        <w:spacing w:after="240"/>
        <w:ind w:left="0" w:hanging="709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t>принимает к сведению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 программные решения Исполнительного секретаря, выражая при этом озабоченность сокращением бюджета обычной программы на оперативную деятельность;</w:t>
      </w:r>
    </w:p>
    <w:p w14:paraId="64DE0D74" w14:textId="77777777" w:rsidR="00A26CAE" w:rsidRPr="00A26CAE" w:rsidRDefault="00A26CAE" w:rsidP="001C4F20">
      <w:pPr>
        <w:numPr>
          <w:ilvl w:val="0"/>
          <w:numId w:val="22"/>
        </w:numPr>
        <w:tabs>
          <w:tab w:val="clear" w:pos="567"/>
          <w:tab w:val="left" w:pos="-737"/>
        </w:tabs>
        <w:spacing w:after="240"/>
        <w:ind w:left="0" w:hanging="709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t>подчеркивает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 важность наличия у МОК стратегии и необходимых ресурсов как в рамках обычного программного бюджета, так и добровольных взносов для выполнения ее роли в проведении Десятилетия ООН, посвященного науке об океане в интересах устойчивого развития (2021</w:t>
      </w:r>
      <w:r w:rsidR="00BD24DB">
        <w:rPr>
          <w:rFonts w:ascii="Arial" w:eastAsia="Calibri" w:hAnsi="Arial" w:cs="Arial"/>
          <w:sz w:val="22"/>
          <w:szCs w:val="22"/>
          <w:lang w:val="ru-RU"/>
        </w:rPr>
        <w:t>-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2030 гг.), (далее «Десятилетие»);</w:t>
      </w:r>
    </w:p>
    <w:p w14:paraId="35B6FEDF" w14:textId="77777777" w:rsidR="00A26CAE" w:rsidRPr="00A26CAE" w:rsidRDefault="00A26CAE" w:rsidP="001C4F20">
      <w:pPr>
        <w:numPr>
          <w:ilvl w:val="0"/>
          <w:numId w:val="22"/>
        </w:numPr>
        <w:tabs>
          <w:tab w:val="clear" w:pos="567"/>
          <w:tab w:val="left" w:pos="-737"/>
        </w:tabs>
        <w:spacing w:after="240"/>
        <w:ind w:left="0" w:hanging="709"/>
        <w:jc w:val="both"/>
        <w:rPr>
          <w:rFonts w:ascii="Arial" w:eastAsia="Calibri" w:hAnsi="Arial" w:cs="Arial"/>
          <w:sz w:val="22"/>
          <w:szCs w:val="22"/>
        </w:rPr>
      </w:pPr>
      <w:r w:rsidRPr="00BD24DB">
        <w:rPr>
          <w:rFonts w:ascii="Arial" w:eastAsia="Calibri" w:hAnsi="Arial" w:cs="Arial"/>
          <w:b/>
          <w:bCs/>
          <w:sz w:val="22"/>
          <w:szCs w:val="22"/>
          <w:lang w:val="ru-RU"/>
        </w:rPr>
        <w:t>предлагает</w:t>
      </w:r>
      <w:r w:rsidRPr="00BD24DB">
        <w:rPr>
          <w:rFonts w:ascii="Arial" w:eastAsia="Calibri" w:hAnsi="Arial" w:cs="Arial"/>
          <w:sz w:val="22"/>
          <w:szCs w:val="22"/>
          <w:lang w:val="ru-RU"/>
        </w:rPr>
        <w:t xml:space="preserve"> Генеральному директору</w:t>
      </w:r>
      <w:r w:rsidRPr="00A26CAE">
        <w:rPr>
          <w:rFonts w:ascii="Arial" w:eastAsia="Calibri" w:hAnsi="Arial" w:cs="Arial"/>
          <w:sz w:val="22"/>
          <w:szCs w:val="22"/>
        </w:rPr>
        <w:t xml:space="preserve"> ЮНЕСКО:</w:t>
      </w:r>
    </w:p>
    <w:p w14:paraId="485C81C9" w14:textId="77777777" w:rsidR="00A26CAE" w:rsidRPr="00A26CAE" w:rsidRDefault="00A26CAE" w:rsidP="008B14E7">
      <w:pPr>
        <w:numPr>
          <w:ilvl w:val="1"/>
          <w:numId w:val="5"/>
        </w:numPr>
        <w:tabs>
          <w:tab w:val="clear" w:pos="567"/>
        </w:tabs>
        <w:spacing w:after="240"/>
        <w:ind w:left="1134" w:hanging="56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26CAE">
        <w:rPr>
          <w:rFonts w:ascii="Arial" w:eastAsia="Calibri" w:hAnsi="Arial" w:cs="Arial"/>
          <w:sz w:val="22"/>
          <w:szCs w:val="22"/>
          <w:lang w:val="ru-RU"/>
        </w:rPr>
        <w:t>укрепить в рамках документа 41</w:t>
      </w:r>
      <w:r w:rsidRPr="00A26CAE">
        <w:rPr>
          <w:rFonts w:ascii="Arial" w:eastAsia="Calibri" w:hAnsi="Arial" w:cs="Arial"/>
          <w:sz w:val="22"/>
          <w:szCs w:val="22"/>
        </w:rPr>
        <w:t> C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/5 кадровые ресурсы МОК, с тем чтобы Комиссия была способна решать стоящие перед ней задачи, количество которых постоянно растет, и удовлетворять текущие и вновь возникающие приоритетные потребности, включая те из них, которые связаны с достижением целей устойчивого развития и проведением Десятилетия; </w:t>
      </w:r>
    </w:p>
    <w:p w14:paraId="1FEBCE85" w14:textId="77777777" w:rsidR="00A26CAE" w:rsidRPr="00A26CAE" w:rsidRDefault="00A26CAE" w:rsidP="008B14E7">
      <w:pPr>
        <w:numPr>
          <w:ilvl w:val="1"/>
          <w:numId w:val="5"/>
        </w:numPr>
        <w:tabs>
          <w:tab w:val="clear" w:pos="567"/>
        </w:tabs>
        <w:spacing w:after="240"/>
        <w:ind w:left="1134" w:hanging="56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26CAE">
        <w:rPr>
          <w:rFonts w:ascii="Arial" w:eastAsia="Calibri" w:hAnsi="Arial" w:cs="Arial"/>
          <w:sz w:val="22"/>
          <w:szCs w:val="22"/>
          <w:lang w:val="ru-RU"/>
        </w:rPr>
        <w:lastRenderedPageBreak/>
        <w:t>продолжить прикладывать все усилия для увеличения</w:t>
      </w:r>
      <w:r w:rsidRPr="00A26CAE">
        <w:rPr>
          <w:lang w:val="ru-RU"/>
        </w:rPr>
        <w:t xml:space="preserve"> 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в рамках документа</w:t>
      </w:r>
      <w:r w:rsidR="00BD24DB">
        <w:rPr>
          <w:rFonts w:ascii="Arial" w:eastAsia="Calibri" w:hAnsi="Arial" w:cs="Arial"/>
          <w:sz w:val="22"/>
          <w:szCs w:val="22"/>
          <w:lang w:val="ru-RU"/>
        </w:rPr>
        <w:t> 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41</w:t>
      </w:r>
      <w:r w:rsidR="008B14E7">
        <w:rPr>
          <w:rFonts w:ascii="Arial" w:eastAsia="Calibri" w:hAnsi="Arial" w:cs="Arial"/>
          <w:sz w:val="22"/>
          <w:szCs w:val="22"/>
          <w:lang w:val="ru-RU"/>
        </w:rPr>
        <w:t> </w:t>
      </w:r>
      <w:r w:rsidRPr="00A26CAE">
        <w:rPr>
          <w:rFonts w:ascii="Arial" w:eastAsia="Calibri" w:hAnsi="Arial" w:cs="Arial"/>
          <w:sz w:val="22"/>
          <w:szCs w:val="22"/>
        </w:rPr>
        <w:t>C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/5 предоставляемых МОК финансовых средств; </w:t>
      </w:r>
    </w:p>
    <w:p w14:paraId="345E7745" w14:textId="77777777" w:rsidR="00A26CAE" w:rsidRPr="00A26CAE" w:rsidRDefault="00A26CAE" w:rsidP="008B14E7">
      <w:pPr>
        <w:numPr>
          <w:ilvl w:val="1"/>
          <w:numId w:val="5"/>
        </w:numPr>
        <w:tabs>
          <w:tab w:val="clear" w:pos="567"/>
        </w:tabs>
        <w:spacing w:after="240"/>
        <w:ind w:left="1134" w:hanging="56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26CAE">
        <w:rPr>
          <w:rFonts w:ascii="Arial" w:eastAsia="Calibri" w:hAnsi="Arial" w:cs="Arial"/>
          <w:sz w:val="22"/>
          <w:szCs w:val="22"/>
          <w:lang w:val="ru-RU"/>
        </w:rPr>
        <w:t>обеспечить бюджетные ассигнования для МОК в утвержденном документе</w:t>
      </w:r>
      <w:r w:rsidR="00BD24DB">
        <w:rPr>
          <w:rFonts w:ascii="Arial" w:eastAsia="Calibri" w:hAnsi="Arial" w:cs="Arial"/>
          <w:sz w:val="22"/>
          <w:szCs w:val="22"/>
          <w:lang w:val="ru-RU"/>
        </w:rPr>
        <w:t> 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41</w:t>
      </w:r>
      <w:r w:rsidR="008B14E7">
        <w:rPr>
          <w:rFonts w:ascii="Arial" w:eastAsia="Calibri" w:hAnsi="Arial" w:cs="Arial"/>
          <w:sz w:val="22"/>
          <w:szCs w:val="22"/>
          <w:lang w:val="ru-RU"/>
        </w:rPr>
        <w:t> 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С/5 без их уменьшения путем перенаправления средств в другие части бюджета ЮНЕСКО;</w:t>
      </w:r>
    </w:p>
    <w:p w14:paraId="27125953" w14:textId="77777777" w:rsidR="00A26CAE" w:rsidRPr="00A26CAE" w:rsidRDefault="00A26CAE" w:rsidP="008B14E7">
      <w:pPr>
        <w:numPr>
          <w:ilvl w:val="0"/>
          <w:numId w:val="22"/>
        </w:numPr>
        <w:tabs>
          <w:tab w:val="clear" w:pos="567"/>
          <w:tab w:val="left" w:pos="-737"/>
        </w:tabs>
        <w:spacing w:after="240"/>
        <w:ind w:left="0" w:hanging="709"/>
        <w:jc w:val="both"/>
        <w:rPr>
          <w:rFonts w:ascii="Arial" w:eastAsia="Calibri" w:hAnsi="Arial" w:cs="Arial"/>
          <w:sz w:val="22"/>
          <w:szCs w:val="22"/>
        </w:rPr>
      </w:pPr>
      <w:r w:rsidRPr="00BD24DB">
        <w:rPr>
          <w:rFonts w:ascii="Arial" w:eastAsia="Calibri" w:hAnsi="Arial" w:cs="Arial"/>
          <w:b/>
          <w:bCs/>
          <w:sz w:val="22"/>
          <w:szCs w:val="22"/>
          <w:lang w:val="ru-RU"/>
        </w:rPr>
        <w:t>предлагает</w:t>
      </w:r>
      <w:r w:rsidRPr="00BD24DB">
        <w:rPr>
          <w:rFonts w:ascii="Arial" w:eastAsia="Calibri" w:hAnsi="Arial" w:cs="Arial"/>
          <w:sz w:val="22"/>
          <w:szCs w:val="22"/>
          <w:lang w:val="ru-RU"/>
        </w:rPr>
        <w:t xml:space="preserve"> государствам</w:t>
      </w:r>
      <w:r w:rsidR="00BD24DB">
        <w:rPr>
          <w:rFonts w:ascii="Arial" w:eastAsia="Calibri" w:hAnsi="Arial" w:cs="Arial"/>
          <w:sz w:val="22"/>
          <w:szCs w:val="22"/>
          <w:lang w:val="ru-RU"/>
        </w:rPr>
        <w:t xml:space="preserve"> – </w:t>
      </w:r>
      <w:r w:rsidRPr="00BD24DB">
        <w:rPr>
          <w:rFonts w:ascii="Arial" w:eastAsia="Calibri" w:hAnsi="Arial" w:cs="Arial"/>
          <w:sz w:val="22"/>
          <w:szCs w:val="22"/>
          <w:lang w:val="ru-RU"/>
        </w:rPr>
        <w:t>членам</w:t>
      </w:r>
      <w:r w:rsidRPr="00A26CAE">
        <w:rPr>
          <w:rFonts w:ascii="Arial" w:eastAsia="Calibri" w:hAnsi="Arial" w:cs="Arial"/>
          <w:sz w:val="22"/>
          <w:szCs w:val="22"/>
        </w:rPr>
        <w:t xml:space="preserve"> МОК:</w:t>
      </w:r>
    </w:p>
    <w:p w14:paraId="05F99508" w14:textId="77777777" w:rsidR="00A26CAE" w:rsidRPr="00A26CAE" w:rsidRDefault="00A26CAE" w:rsidP="008B14E7">
      <w:pPr>
        <w:numPr>
          <w:ilvl w:val="1"/>
          <w:numId w:val="6"/>
        </w:numPr>
        <w:tabs>
          <w:tab w:val="clear" w:pos="567"/>
        </w:tabs>
        <w:spacing w:after="240"/>
        <w:ind w:left="1134" w:hanging="56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продолжать отстаивать перед </w:t>
      </w:r>
      <w:r w:rsidR="008B14E7" w:rsidRPr="00A26CAE">
        <w:rPr>
          <w:rFonts w:ascii="Arial" w:eastAsia="Calibri" w:hAnsi="Arial" w:cs="Arial"/>
          <w:sz w:val="22"/>
          <w:szCs w:val="22"/>
          <w:lang w:val="ru-RU"/>
        </w:rPr>
        <w:t>Г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енеральным директором ЮНЕСКО и руководящими органами ЮНЕСКО важность МОК как органа с функциональной автономией в рамках ЮНЕСКО, подчеркивая, в частности, ценность вклада МОК в деятельность ЮНЕСКО и в поддержку устойчивого развития;</w:t>
      </w:r>
    </w:p>
    <w:p w14:paraId="52D6F925" w14:textId="77777777" w:rsidR="00A26CAE" w:rsidRPr="00A26CAE" w:rsidRDefault="00A26CAE" w:rsidP="008B14E7">
      <w:pPr>
        <w:numPr>
          <w:ilvl w:val="1"/>
          <w:numId w:val="6"/>
        </w:numPr>
        <w:tabs>
          <w:tab w:val="clear" w:pos="567"/>
        </w:tabs>
        <w:spacing w:after="240"/>
        <w:ind w:left="1134" w:hanging="56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26CAE">
        <w:rPr>
          <w:rFonts w:ascii="Arial" w:eastAsia="Calibri" w:hAnsi="Arial" w:cs="Arial"/>
          <w:sz w:val="22"/>
          <w:szCs w:val="22"/>
          <w:lang w:val="ru-RU"/>
        </w:rPr>
        <w:t>поддерживать укрепление МОК в процессе консультаций по проекту среднесрочной стратегии ЮНЕСКО на 2022</w:t>
      </w:r>
      <w:r w:rsidR="00BD24DB">
        <w:rPr>
          <w:rFonts w:ascii="Arial" w:eastAsia="Calibri" w:hAnsi="Arial" w:cs="Arial"/>
          <w:sz w:val="22"/>
          <w:szCs w:val="22"/>
          <w:lang w:val="ru-RU"/>
        </w:rPr>
        <w:t>-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2029 гг. (проект документа 41</w:t>
      </w:r>
      <w:r w:rsidRPr="00A26CAE">
        <w:rPr>
          <w:rFonts w:ascii="Arial" w:eastAsia="Calibri" w:hAnsi="Arial" w:cs="Arial"/>
          <w:sz w:val="22"/>
          <w:szCs w:val="22"/>
        </w:rPr>
        <w:t> C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/4) и проекта программы и бюджета на 2022</w:t>
      </w:r>
      <w:r w:rsidR="00BD24DB">
        <w:rPr>
          <w:rFonts w:ascii="Arial" w:eastAsia="Calibri" w:hAnsi="Arial" w:cs="Arial"/>
          <w:sz w:val="22"/>
          <w:szCs w:val="22"/>
          <w:lang w:val="ru-RU"/>
        </w:rPr>
        <w:t>-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2025</w:t>
      </w:r>
      <w:r w:rsidRPr="00A26CAE">
        <w:rPr>
          <w:rFonts w:ascii="Arial" w:eastAsia="Calibri" w:hAnsi="Arial" w:cs="Arial"/>
          <w:sz w:val="22"/>
          <w:szCs w:val="22"/>
        </w:rPr>
        <w:t> 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гг. (проект документа 41</w:t>
      </w:r>
      <w:r w:rsidRPr="00A26CAE">
        <w:rPr>
          <w:rFonts w:ascii="Arial" w:eastAsia="Calibri" w:hAnsi="Arial" w:cs="Arial"/>
          <w:sz w:val="22"/>
          <w:szCs w:val="22"/>
        </w:rPr>
        <w:t> C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/5);</w:t>
      </w:r>
    </w:p>
    <w:p w14:paraId="1C20E4D9" w14:textId="77777777" w:rsidR="00A26CAE" w:rsidRPr="00A26CAE" w:rsidRDefault="00A26CAE" w:rsidP="008B14E7">
      <w:pPr>
        <w:numPr>
          <w:ilvl w:val="1"/>
          <w:numId w:val="6"/>
        </w:numPr>
        <w:tabs>
          <w:tab w:val="clear" w:pos="567"/>
        </w:tabs>
        <w:spacing w:after="240"/>
        <w:ind w:left="1134" w:hanging="56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26CAE">
        <w:rPr>
          <w:rFonts w:ascii="Arial" w:hAnsi="Arial" w:cs="Arial"/>
          <w:sz w:val="22"/>
          <w:szCs w:val="22"/>
          <w:lang w:val="ru-RU"/>
        </w:rPr>
        <w:t>увеличить добровольные взносы в поддержку МОК в связи с ее возрастающими функциями, желательно на специальный счет МОК, а также, помимо прочего, вносить вклад в натуральной форме путем предоставления персонала (либо в форме личного присутствия, либо с использованием механизмов удаленной работы) для секретариата МОК;</w:t>
      </w:r>
    </w:p>
    <w:p w14:paraId="34F81B98" w14:textId="77777777" w:rsidR="00A26CAE" w:rsidRPr="00A26CAE" w:rsidRDefault="00A26CAE" w:rsidP="008B14E7">
      <w:pPr>
        <w:numPr>
          <w:ilvl w:val="1"/>
          <w:numId w:val="6"/>
        </w:numPr>
        <w:tabs>
          <w:tab w:val="clear" w:pos="567"/>
        </w:tabs>
        <w:spacing w:after="240"/>
        <w:ind w:left="1134" w:hanging="56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26CAE">
        <w:rPr>
          <w:rFonts w:ascii="Arial" w:hAnsi="Arial" w:cs="Arial"/>
          <w:sz w:val="22"/>
          <w:szCs w:val="22"/>
          <w:lang w:val="ru-RU"/>
        </w:rPr>
        <w:t>увеличить также взносы без жесткой целевой привязки, с тем чтобы позволить МОК выполнять коллективно согласованные приоритетные задачи программ МОК;</w:t>
      </w:r>
    </w:p>
    <w:p w14:paraId="2D4769FD" w14:textId="77777777" w:rsidR="00A26CAE" w:rsidRPr="00A26CAE" w:rsidRDefault="00A26CAE" w:rsidP="008B14E7">
      <w:pPr>
        <w:numPr>
          <w:ilvl w:val="0"/>
          <w:numId w:val="22"/>
        </w:numPr>
        <w:tabs>
          <w:tab w:val="clear" w:pos="567"/>
          <w:tab w:val="left" w:pos="-737"/>
        </w:tabs>
        <w:spacing w:after="240"/>
        <w:ind w:left="0" w:hanging="709"/>
        <w:jc w:val="both"/>
        <w:rPr>
          <w:rFonts w:ascii="Arial" w:eastAsia="Calibri" w:hAnsi="Arial" w:cs="Arial"/>
          <w:sz w:val="22"/>
          <w:szCs w:val="22"/>
        </w:rPr>
      </w:pPr>
      <w:r w:rsidRPr="00BD24DB">
        <w:rPr>
          <w:rFonts w:ascii="Arial" w:eastAsia="Calibri" w:hAnsi="Arial" w:cs="Arial"/>
          <w:b/>
          <w:bCs/>
          <w:sz w:val="22"/>
          <w:szCs w:val="22"/>
          <w:lang w:val="ru-RU"/>
        </w:rPr>
        <w:t>просит</w:t>
      </w:r>
      <w:r w:rsidRPr="00BD24DB">
        <w:rPr>
          <w:rFonts w:ascii="Arial" w:eastAsia="Calibri" w:hAnsi="Arial" w:cs="Arial"/>
          <w:sz w:val="22"/>
          <w:szCs w:val="22"/>
          <w:lang w:val="ru-RU"/>
        </w:rPr>
        <w:t xml:space="preserve"> Исполнительного секретаря</w:t>
      </w:r>
      <w:r w:rsidRPr="00A26CAE">
        <w:rPr>
          <w:rFonts w:ascii="Arial" w:eastAsia="Calibri" w:hAnsi="Arial" w:cs="Arial"/>
          <w:sz w:val="22"/>
          <w:szCs w:val="22"/>
        </w:rPr>
        <w:t xml:space="preserve"> МОК:</w:t>
      </w:r>
    </w:p>
    <w:p w14:paraId="27B9EB99" w14:textId="77777777" w:rsidR="00A26CAE" w:rsidRPr="00A26CAE" w:rsidRDefault="00A26CAE" w:rsidP="008B14E7">
      <w:pPr>
        <w:numPr>
          <w:ilvl w:val="0"/>
          <w:numId w:val="8"/>
        </w:numPr>
        <w:tabs>
          <w:tab w:val="clear" w:pos="567"/>
        </w:tabs>
        <w:spacing w:after="240"/>
        <w:ind w:left="1134" w:hanging="56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26CAE">
        <w:rPr>
          <w:rFonts w:ascii="Arial" w:eastAsia="Calibri" w:hAnsi="Arial" w:cs="Arial"/>
          <w:sz w:val="22"/>
          <w:szCs w:val="22"/>
          <w:lang w:val="ru-RU"/>
        </w:rPr>
        <w:t>информировать должностных лиц МОК и государства-члены о процессе утверждения ЮНЕСКО документа 41</w:t>
      </w:r>
      <w:r w:rsidRPr="00A26CAE">
        <w:rPr>
          <w:rFonts w:ascii="Arial" w:eastAsia="Calibri" w:hAnsi="Arial" w:cs="Arial"/>
          <w:sz w:val="22"/>
          <w:szCs w:val="22"/>
        </w:rPr>
        <w:t> C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/5;</w:t>
      </w:r>
    </w:p>
    <w:p w14:paraId="22901A82" w14:textId="77777777" w:rsidR="00A26CAE" w:rsidRPr="00A26CAE" w:rsidRDefault="00A26CAE" w:rsidP="008B14E7">
      <w:pPr>
        <w:numPr>
          <w:ilvl w:val="0"/>
          <w:numId w:val="8"/>
        </w:numPr>
        <w:tabs>
          <w:tab w:val="clear" w:pos="567"/>
        </w:tabs>
        <w:spacing w:after="240"/>
        <w:ind w:left="1134" w:hanging="56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26CAE">
        <w:rPr>
          <w:rFonts w:ascii="Arial" w:eastAsia="Calibri" w:hAnsi="Arial" w:cs="Arial"/>
          <w:sz w:val="22"/>
          <w:szCs w:val="22"/>
          <w:lang w:val="ru-RU"/>
        </w:rPr>
        <w:t>после утверждения Генеральной конференцией ЮНЕСКО бюджета на 2022</w:t>
      </w:r>
      <w:r w:rsidR="00BD24DB">
        <w:rPr>
          <w:rFonts w:ascii="Arial" w:eastAsia="Calibri" w:hAnsi="Arial" w:cs="Arial"/>
          <w:sz w:val="22"/>
          <w:szCs w:val="22"/>
          <w:lang w:val="ru-RU"/>
        </w:rPr>
        <w:t>-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2023 гг. разработать планы работы на основе общего подхода, установленного в документе </w:t>
      </w:r>
      <w:hyperlink r:id="rId20" w:history="1"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IOC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/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A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-31/4.2.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Doc</w:t>
        </w:r>
      </w:hyperlink>
      <w:r w:rsidRPr="00A26CAE">
        <w:rPr>
          <w:rFonts w:ascii="Arial" w:eastAsia="Calibri" w:hAnsi="Arial" w:cs="Arial"/>
          <w:sz w:val="22"/>
          <w:szCs w:val="22"/>
          <w:lang w:val="ru-RU"/>
        </w:rPr>
        <w:t>;</w:t>
      </w:r>
    </w:p>
    <w:p w14:paraId="0D55C379" w14:textId="77777777" w:rsidR="00A26CAE" w:rsidRPr="00A26CAE" w:rsidRDefault="00A26CAE" w:rsidP="008B14E7">
      <w:pPr>
        <w:numPr>
          <w:ilvl w:val="0"/>
          <w:numId w:val="8"/>
        </w:numPr>
        <w:tabs>
          <w:tab w:val="clear" w:pos="567"/>
        </w:tabs>
        <w:spacing w:after="240"/>
        <w:ind w:left="1134" w:hanging="567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26CAE">
        <w:rPr>
          <w:rFonts w:ascii="Arial" w:eastAsia="Calibri" w:hAnsi="Arial" w:cs="Arial"/>
          <w:sz w:val="22"/>
          <w:szCs w:val="22"/>
          <w:lang w:val="ru-RU"/>
        </w:rPr>
        <w:t>поддерживать работу межсессионной финансовой консультативной группы</w:t>
      </w:r>
      <w:r w:rsidR="00BD24DB">
        <w:rPr>
          <w:rFonts w:ascii="Arial" w:eastAsia="Calibri" w:hAnsi="Arial" w:cs="Arial"/>
          <w:sz w:val="22"/>
          <w:szCs w:val="22"/>
          <w:lang w:val="ru-RU"/>
        </w:rPr>
        <w:t> 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(МФКГ), своевременно предоставляя информацию о процессе составления программы и бюджета, в целях содействия принятию обоснованного решения государствами</w:t>
      </w:r>
      <w:r w:rsidR="00BD24DB">
        <w:rPr>
          <w:rFonts w:ascii="Arial" w:eastAsia="Calibri" w:hAnsi="Arial" w:cs="Arial"/>
          <w:sz w:val="22"/>
          <w:szCs w:val="22"/>
          <w:lang w:val="ru-RU"/>
        </w:rPr>
        <w:t xml:space="preserve"> – 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членами Исполнительного совета МОК на его 55-й сессии в 2022 г.;</w:t>
      </w:r>
    </w:p>
    <w:p w14:paraId="2E38AF0F" w14:textId="77777777" w:rsidR="00A26CAE" w:rsidRPr="00BD24DB" w:rsidRDefault="00A26CAE" w:rsidP="008B14E7">
      <w:pPr>
        <w:numPr>
          <w:ilvl w:val="2"/>
          <w:numId w:val="12"/>
        </w:numPr>
        <w:spacing w:after="240"/>
        <w:ind w:left="0" w:firstLine="0"/>
        <w:jc w:val="center"/>
        <w:rPr>
          <w:rFonts w:ascii="Arial" w:eastAsia="Calibri" w:hAnsi="Arial" w:cs="Arial"/>
          <w:b/>
          <w:bCs/>
          <w:sz w:val="22"/>
          <w:szCs w:val="22"/>
          <w:lang w:val="ru-RU"/>
        </w:rPr>
      </w:pPr>
      <w:r w:rsidRPr="00BD24DB">
        <w:rPr>
          <w:rFonts w:ascii="Arial" w:eastAsia="Calibri" w:hAnsi="Arial" w:cs="Arial"/>
          <w:b/>
          <w:bCs/>
          <w:sz w:val="22"/>
          <w:szCs w:val="22"/>
          <w:lang w:val="ru-RU"/>
        </w:rPr>
        <w:t>Управление и методы работы</w:t>
      </w:r>
    </w:p>
    <w:p w14:paraId="4FA08B78" w14:textId="77777777" w:rsidR="00A26CAE" w:rsidRPr="00A26CAE" w:rsidRDefault="00A26CAE" w:rsidP="00AA2878">
      <w:pPr>
        <w:numPr>
          <w:ilvl w:val="0"/>
          <w:numId w:val="22"/>
        </w:numPr>
        <w:tabs>
          <w:tab w:val="clear" w:pos="567"/>
          <w:tab w:val="left" w:pos="-737"/>
        </w:tabs>
        <w:spacing w:after="240"/>
        <w:ind w:left="0" w:hanging="709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t>напоминая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, что Ассамблея МОК на своей 30-й сессии в </w:t>
      </w:r>
      <w:hyperlink r:id="rId21" w:history="1"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 xml:space="preserve">резолюции 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XXX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-3</w:t>
        </w:r>
      </w:hyperlink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 предложила МФКГ «продолжить изучение передового опыта с целью дальнейшего повышения эффективности совещаний руководящих органов МОК»,</w:t>
      </w:r>
    </w:p>
    <w:p w14:paraId="5D135D33" w14:textId="77777777" w:rsidR="00A26CAE" w:rsidRPr="00A26CAE" w:rsidRDefault="00A26CAE" w:rsidP="00AA2878">
      <w:pPr>
        <w:numPr>
          <w:ilvl w:val="0"/>
          <w:numId w:val="22"/>
        </w:numPr>
        <w:tabs>
          <w:tab w:val="clear" w:pos="567"/>
          <w:tab w:val="left" w:pos="-737"/>
        </w:tabs>
        <w:spacing w:after="240"/>
        <w:ind w:left="0" w:hanging="709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t>признавая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, что пандемия </w:t>
      </w:r>
      <w:r w:rsidRPr="00A26CAE">
        <w:rPr>
          <w:rFonts w:ascii="Arial" w:eastAsia="Calibri" w:hAnsi="Arial" w:cs="Arial"/>
          <w:sz w:val="22"/>
          <w:szCs w:val="22"/>
        </w:rPr>
        <w:t>COVID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-19 привлекла внимание к необходимости пересмотра и возможного обновления Правил процедуры МОК для приведения их в соответствие с преобладающей передовой практикой Организации Объединенных Наций в целях упрощения обоснованного и своевременного принятия решений государствами</w:t>
      </w:r>
      <w:r w:rsidR="00AA2878">
        <w:rPr>
          <w:rFonts w:ascii="Arial" w:eastAsia="Calibri" w:hAnsi="Arial" w:cs="Arial"/>
          <w:sz w:val="22"/>
          <w:szCs w:val="22"/>
          <w:lang w:val="ru-RU"/>
        </w:rPr>
        <w:t xml:space="preserve"> – 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членами МОК,</w:t>
      </w:r>
    </w:p>
    <w:p w14:paraId="4AEB48DD" w14:textId="77777777" w:rsidR="00A26CAE" w:rsidRPr="00A26CAE" w:rsidRDefault="00A26CAE" w:rsidP="00AA2878">
      <w:pPr>
        <w:numPr>
          <w:ilvl w:val="0"/>
          <w:numId w:val="22"/>
        </w:numPr>
        <w:tabs>
          <w:tab w:val="clear" w:pos="567"/>
          <w:tab w:val="left" w:pos="-737"/>
        </w:tabs>
        <w:spacing w:after="240"/>
        <w:ind w:left="0" w:hanging="709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lastRenderedPageBreak/>
        <w:t>отмечая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, что Исполнительный совет МОК на своей 53-й сессии в </w:t>
      </w:r>
      <w:hyperlink r:id="rId22" w:history="1"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резолюции</w:t>
        </w:r>
        <w:r w:rsidR="00BD24DB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 </w:t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EC</w:t>
        </w:r>
        <w:r w:rsidR="00BD24DB" w:rsidRPr="00BD24DB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noBreakHyphen/>
        </w:r>
        <w:r w:rsidRPr="00A26CAE">
          <w:rPr>
            <w:rFonts w:ascii="Arial" w:eastAsia="Calibri" w:hAnsi="Arial" w:cs="Arial"/>
            <w:color w:val="0000FF"/>
            <w:sz w:val="22"/>
            <w:szCs w:val="22"/>
            <w:u w:val="single"/>
            <w:lang w:val="ru-RU"/>
          </w:rPr>
          <w:t>53/2</w:t>
        </w:r>
      </w:hyperlink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 признал необходимость адаптации Правил процедуры МОК к совещаниям в режиме онлайн,</w:t>
      </w:r>
    </w:p>
    <w:p w14:paraId="3F57303C" w14:textId="77777777" w:rsidR="00A26CAE" w:rsidRPr="00A26CAE" w:rsidRDefault="00A26CAE" w:rsidP="00AA2878">
      <w:pPr>
        <w:numPr>
          <w:ilvl w:val="0"/>
          <w:numId w:val="22"/>
        </w:numPr>
        <w:tabs>
          <w:tab w:val="clear" w:pos="567"/>
          <w:tab w:val="left" w:pos="-737"/>
        </w:tabs>
        <w:spacing w:after="240"/>
        <w:ind w:left="0" w:hanging="709"/>
        <w:jc w:val="both"/>
        <w:rPr>
          <w:rFonts w:ascii="Arial" w:eastAsia="Calibri" w:hAnsi="Arial" w:cs="Arial"/>
          <w:snapToGrid/>
          <w:sz w:val="22"/>
          <w:szCs w:val="22"/>
          <w:lang w:val="ru-RU"/>
        </w:rPr>
      </w:pP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t>приветствует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 представленную в докладе председателя МФКГ (</w:t>
      </w:r>
      <w:r w:rsidRPr="00A26CAE">
        <w:rPr>
          <w:rFonts w:ascii="Arial" w:eastAsia="Calibri" w:hAnsi="Arial" w:cs="Arial"/>
          <w:sz w:val="22"/>
          <w:szCs w:val="22"/>
        </w:rPr>
        <w:t>IOC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>/</w:t>
      </w:r>
      <w:r w:rsidRPr="00A26CAE">
        <w:rPr>
          <w:rFonts w:ascii="Arial" w:eastAsia="Calibri" w:hAnsi="Arial" w:cs="Arial"/>
          <w:sz w:val="22"/>
          <w:szCs w:val="22"/>
        </w:rPr>
        <w:t>A</w:t>
      </w:r>
      <w:r w:rsidR="00BD24DB">
        <w:rPr>
          <w:rFonts w:ascii="Arial" w:eastAsia="Calibri" w:hAnsi="Arial" w:cs="Arial"/>
          <w:sz w:val="22"/>
          <w:szCs w:val="22"/>
          <w:lang w:val="ru-RU"/>
        </w:rPr>
        <w:noBreakHyphen/>
      </w:r>
      <w:r w:rsidRPr="00A26CAE">
        <w:rPr>
          <w:rFonts w:ascii="Arial" w:eastAsia="Calibri" w:hAnsi="Arial" w:cs="Arial"/>
          <w:sz w:val="22"/>
          <w:szCs w:val="22"/>
          <w:lang w:val="ru-RU"/>
        </w:rPr>
        <w:t>31/4.3.</w:t>
      </w:r>
      <w:r w:rsidRPr="00A26CAE">
        <w:rPr>
          <w:rFonts w:ascii="Arial" w:eastAsia="Calibri" w:hAnsi="Arial" w:cs="Arial"/>
          <w:sz w:val="22"/>
          <w:szCs w:val="22"/>
        </w:rPr>
        <w:t>Doc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) информацию относительно консультаций, проведенных по этому вопросу с юрисконсультом ЮНЕСКО; </w:t>
      </w:r>
    </w:p>
    <w:p w14:paraId="0EE2417F" w14:textId="77777777" w:rsidR="00A26CAE" w:rsidRPr="00A26CAE" w:rsidRDefault="00A26CAE" w:rsidP="00AA2878">
      <w:pPr>
        <w:numPr>
          <w:ilvl w:val="0"/>
          <w:numId w:val="22"/>
        </w:numPr>
        <w:tabs>
          <w:tab w:val="clear" w:pos="567"/>
          <w:tab w:val="left" w:pos="-737"/>
        </w:tabs>
        <w:spacing w:after="240"/>
        <w:ind w:left="0" w:hanging="709"/>
        <w:jc w:val="both"/>
        <w:rPr>
          <w:rFonts w:ascii="Arial" w:eastAsia="Calibri" w:hAnsi="Arial" w:cs="Arial"/>
          <w:snapToGrid/>
          <w:sz w:val="22"/>
          <w:szCs w:val="22"/>
          <w:lang w:val="ru-RU"/>
        </w:rPr>
      </w:pPr>
      <w:r w:rsidRPr="00A26CAE">
        <w:rPr>
          <w:rFonts w:ascii="Arial" w:eastAsia="Calibri" w:hAnsi="Arial" w:cs="Arial"/>
          <w:b/>
          <w:bCs/>
          <w:sz w:val="22"/>
          <w:szCs w:val="22"/>
          <w:lang w:val="ru-RU"/>
        </w:rPr>
        <w:t>просит</w:t>
      </w:r>
      <w:r w:rsidRPr="00A26CAE">
        <w:rPr>
          <w:rFonts w:ascii="Arial" w:eastAsia="Calibri" w:hAnsi="Arial" w:cs="Arial"/>
          <w:sz w:val="22"/>
          <w:szCs w:val="22"/>
          <w:lang w:val="ru-RU"/>
        </w:rPr>
        <w:t xml:space="preserve"> Исполнительного секретаря МОК </w:t>
      </w:r>
      <w:r w:rsidRPr="00A26CAE">
        <w:rPr>
          <w:rFonts w:ascii="Arial" w:eastAsia="Calibri" w:hAnsi="Arial" w:cs="Arial"/>
          <w:snapToGrid/>
          <w:sz w:val="22"/>
          <w:szCs w:val="22"/>
          <w:lang w:val="ru-RU"/>
        </w:rPr>
        <w:t>в сотрудничестве с юрисконсультом ЮНЕСКО и МФКГ подготовить предварительное предложение о пересмотре отдельно Правил процедуры Ассамблеи МОК и Правил процедуры Исполнительного совета МОК с внесением необходимых разъяснений и согласованием текстов на различных языках для рассмотрения и утверждения этими двумя органами в соответствии со следующим графиком:</w:t>
      </w:r>
    </w:p>
    <w:p w14:paraId="18F7547E" w14:textId="77777777" w:rsidR="00A26CAE" w:rsidRPr="00A26CAE" w:rsidRDefault="00A26CAE" w:rsidP="00AA2878">
      <w:pPr>
        <w:numPr>
          <w:ilvl w:val="0"/>
          <w:numId w:val="14"/>
        </w:numPr>
        <w:tabs>
          <w:tab w:val="clear" w:pos="567"/>
          <w:tab w:val="left" w:pos="-737"/>
        </w:tabs>
        <w:spacing w:after="240"/>
        <w:ind w:left="1134" w:hanging="567"/>
        <w:jc w:val="both"/>
        <w:rPr>
          <w:rFonts w:ascii="Arial" w:eastAsia="Calibri" w:hAnsi="Arial" w:cs="Arial"/>
          <w:snapToGrid/>
          <w:sz w:val="22"/>
          <w:szCs w:val="22"/>
          <w:lang w:val="ru-RU"/>
        </w:rPr>
      </w:pPr>
      <w:r w:rsidRPr="00A26CAE">
        <w:rPr>
          <w:rFonts w:ascii="Arial" w:hAnsi="Arial" w:cs="Arial"/>
          <w:sz w:val="22"/>
          <w:szCs w:val="22"/>
          <w:lang w:val="ru-RU"/>
        </w:rPr>
        <w:t>первый проект Правил процедуры Исполнительного совета МОК будет рассмотрен Исполнительным советом МОК на его 55-й сессии в 2022 г.;</w:t>
      </w:r>
    </w:p>
    <w:p w14:paraId="637137D1" w14:textId="77777777" w:rsidR="00A26CAE" w:rsidRPr="00A26CAE" w:rsidRDefault="00A26CAE" w:rsidP="00AA2878">
      <w:pPr>
        <w:numPr>
          <w:ilvl w:val="0"/>
          <w:numId w:val="14"/>
        </w:numPr>
        <w:tabs>
          <w:tab w:val="clear" w:pos="567"/>
          <w:tab w:val="left" w:pos="-737"/>
        </w:tabs>
        <w:spacing w:after="240"/>
        <w:ind w:left="1134" w:hanging="567"/>
        <w:jc w:val="both"/>
        <w:rPr>
          <w:rFonts w:ascii="Arial" w:eastAsia="Calibri" w:hAnsi="Arial" w:cs="Arial"/>
          <w:snapToGrid/>
          <w:sz w:val="22"/>
          <w:szCs w:val="22"/>
          <w:lang w:val="ru-RU"/>
        </w:rPr>
      </w:pPr>
      <w:r w:rsidRPr="00A26CAE">
        <w:rPr>
          <w:rFonts w:ascii="Arial" w:hAnsi="Arial" w:cs="Arial"/>
          <w:sz w:val="22"/>
          <w:szCs w:val="22"/>
          <w:lang w:val="ru-RU"/>
        </w:rPr>
        <w:t>проект Правил процедуры Ассамблеи МОК будет представлен для рассмотрения и утверждения Ассамблеей</w:t>
      </w:r>
      <w:r w:rsidRPr="00A26CAE">
        <w:rPr>
          <w:lang w:val="ru-RU"/>
        </w:rPr>
        <w:t xml:space="preserve"> </w:t>
      </w:r>
      <w:r w:rsidRPr="00A26CAE">
        <w:rPr>
          <w:rFonts w:ascii="Arial" w:hAnsi="Arial" w:cs="Arial"/>
          <w:sz w:val="22"/>
          <w:szCs w:val="22"/>
          <w:lang w:val="ru-RU"/>
        </w:rPr>
        <w:t>МОК на ее 32-й сессии в 2023 г.;</w:t>
      </w:r>
    </w:p>
    <w:p w14:paraId="09774929" w14:textId="77777777" w:rsidR="00A26CAE" w:rsidRPr="00A26CAE" w:rsidRDefault="00A26CAE" w:rsidP="00AA2878">
      <w:pPr>
        <w:numPr>
          <w:ilvl w:val="0"/>
          <w:numId w:val="14"/>
        </w:numPr>
        <w:tabs>
          <w:tab w:val="clear" w:pos="567"/>
          <w:tab w:val="left" w:pos="-737"/>
        </w:tabs>
        <w:spacing w:after="240"/>
        <w:ind w:left="1134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A26CAE">
        <w:rPr>
          <w:rFonts w:ascii="Arial" w:hAnsi="Arial" w:cs="Arial"/>
          <w:sz w:val="22"/>
          <w:szCs w:val="22"/>
          <w:lang w:val="ru-RU"/>
        </w:rPr>
        <w:t>на своей 32-й сессии Ассамблея МОК рассмотрит также проект Правил процедуры Исполнительного совета</w:t>
      </w:r>
      <w:r w:rsidRPr="00A26CAE">
        <w:rPr>
          <w:lang w:val="ru-RU"/>
        </w:rPr>
        <w:t xml:space="preserve"> </w:t>
      </w:r>
      <w:r w:rsidRPr="00A26CAE">
        <w:rPr>
          <w:rFonts w:ascii="Arial" w:hAnsi="Arial" w:cs="Arial"/>
          <w:sz w:val="22"/>
          <w:szCs w:val="22"/>
          <w:lang w:val="ru-RU"/>
        </w:rPr>
        <w:t xml:space="preserve">МОК; </w:t>
      </w:r>
    </w:p>
    <w:p w14:paraId="403E6384" w14:textId="77777777" w:rsidR="00A26CAE" w:rsidRPr="00A26CAE" w:rsidRDefault="00A26CAE" w:rsidP="00AA2878">
      <w:pPr>
        <w:numPr>
          <w:ilvl w:val="0"/>
          <w:numId w:val="14"/>
        </w:numPr>
        <w:tabs>
          <w:tab w:val="clear" w:pos="567"/>
          <w:tab w:val="left" w:pos="-737"/>
        </w:tabs>
        <w:spacing w:after="240"/>
        <w:ind w:left="1134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A26CAE">
        <w:rPr>
          <w:rFonts w:ascii="Arial" w:hAnsi="Arial" w:cs="Arial"/>
          <w:sz w:val="22"/>
          <w:szCs w:val="22"/>
          <w:lang w:val="ru-RU"/>
        </w:rPr>
        <w:t>Исполнительный совет МОК проведет внеочередную сессию для принятия своих Правил процедуры сразу после 32-й сессии Ассамблеи</w:t>
      </w:r>
      <w:r w:rsidRPr="00A26CAE">
        <w:rPr>
          <w:lang w:val="ru-RU"/>
        </w:rPr>
        <w:t xml:space="preserve"> </w:t>
      </w:r>
      <w:r w:rsidRPr="00A26CAE">
        <w:rPr>
          <w:rFonts w:ascii="Arial" w:hAnsi="Arial" w:cs="Arial"/>
          <w:sz w:val="22"/>
          <w:szCs w:val="22"/>
          <w:lang w:val="ru-RU"/>
        </w:rPr>
        <w:t>МОК;</w:t>
      </w:r>
    </w:p>
    <w:p w14:paraId="347C8C94" w14:textId="77777777" w:rsidR="00A26CAE" w:rsidRPr="00BD24DB" w:rsidRDefault="00A26CAE" w:rsidP="00AA2878">
      <w:pPr>
        <w:numPr>
          <w:ilvl w:val="0"/>
          <w:numId w:val="22"/>
        </w:numPr>
        <w:tabs>
          <w:tab w:val="clear" w:pos="567"/>
          <w:tab w:val="left" w:pos="-737"/>
        </w:tabs>
        <w:spacing w:after="240"/>
        <w:ind w:left="0" w:hanging="709"/>
        <w:jc w:val="both"/>
        <w:rPr>
          <w:i/>
          <w:lang w:val="ru-RU"/>
        </w:rPr>
      </w:pPr>
      <w:r w:rsidRPr="00A26CAE">
        <w:rPr>
          <w:rFonts w:ascii="Arial" w:hAnsi="Arial" w:cs="Arial"/>
          <w:b/>
          <w:bCs/>
          <w:sz w:val="22"/>
          <w:szCs w:val="22"/>
          <w:lang w:val="ru-RU"/>
        </w:rPr>
        <w:t>соглашается</w:t>
      </w:r>
      <w:r w:rsidRPr="00A26CAE">
        <w:rPr>
          <w:rFonts w:ascii="Arial" w:hAnsi="Arial" w:cs="Arial"/>
          <w:sz w:val="22"/>
          <w:szCs w:val="22"/>
          <w:lang w:val="ru-RU"/>
        </w:rPr>
        <w:t>, что каждый руководящий орган МОК утвердит рекомендации по методам работы сессий в режиме онлайн одновременно с Правилами процедуры, следуя практике Исполнительного совета ЮНЕСКО;</w:t>
      </w:r>
    </w:p>
    <w:p w14:paraId="2929EA80" w14:textId="56997296" w:rsidR="00A26CAE" w:rsidRPr="00BD24DB" w:rsidRDefault="00A26CAE" w:rsidP="00AA2878">
      <w:pPr>
        <w:numPr>
          <w:ilvl w:val="0"/>
          <w:numId w:val="22"/>
        </w:numPr>
        <w:tabs>
          <w:tab w:val="clear" w:pos="567"/>
          <w:tab w:val="left" w:pos="-737"/>
        </w:tabs>
        <w:spacing w:after="240"/>
        <w:ind w:left="0" w:hanging="709"/>
        <w:jc w:val="both"/>
        <w:rPr>
          <w:i/>
          <w:lang w:val="ru-RU"/>
        </w:rPr>
      </w:pPr>
      <w:r w:rsidRPr="00A26CAE">
        <w:rPr>
          <w:rFonts w:ascii="Arial" w:hAnsi="Arial" w:cs="Arial"/>
          <w:b/>
          <w:bCs/>
          <w:sz w:val="22"/>
          <w:szCs w:val="22"/>
          <w:lang w:val="ru-RU"/>
        </w:rPr>
        <w:t xml:space="preserve">предлагает </w:t>
      </w:r>
      <w:r w:rsidR="007338EA">
        <w:rPr>
          <w:rFonts w:ascii="Arial" w:hAnsi="Arial" w:cs="Arial"/>
          <w:bCs/>
          <w:sz w:val="22"/>
          <w:szCs w:val="22"/>
          <w:lang w:val="ru-RU"/>
        </w:rPr>
        <w:t>МФКГ</w:t>
      </w:r>
      <w:r w:rsidRPr="00A26CAE">
        <w:rPr>
          <w:rFonts w:ascii="Arial" w:hAnsi="Arial" w:cs="Arial"/>
          <w:bCs/>
          <w:sz w:val="22"/>
          <w:szCs w:val="22"/>
          <w:lang w:val="ru-RU"/>
        </w:rPr>
        <w:t xml:space="preserve"> подготовить предложение по систематическому подходу к отчетности за взносы в натуральной форме и ее методологии в соответствии с обновленными Руководящими принципами программной и бюджетной деятельности (приложение </w:t>
      </w:r>
      <w:r w:rsidRPr="00A26CAE">
        <w:rPr>
          <w:rFonts w:ascii="Arial" w:hAnsi="Arial" w:cs="Arial"/>
          <w:bCs/>
          <w:sz w:val="22"/>
          <w:szCs w:val="22"/>
          <w:lang w:val="fr-FR"/>
        </w:rPr>
        <w:t>I</w:t>
      </w:r>
      <w:r w:rsidRPr="00A26CAE">
        <w:rPr>
          <w:rFonts w:ascii="Arial" w:hAnsi="Arial" w:cs="Arial"/>
          <w:bCs/>
          <w:sz w:val="22"/>
          <w:szCs w:val="22"/>
          <w:lang w:val="ru-RU"/>
        </w:rPr>
        <w:t xml:space="preserve"> к резолюции</w:t>
      </w:r>
      <w:r w:rsidR="00BD24DB">
        <w:rPr>
          <w:rFonts w:ascii="Arial" w:hAnsi="Arial" w:cs="Arial"/>
          <w:bCs/>
          <w:sz w:val="22"/>
          <w:szCs w:val="22"/>
          <w:lang w:val="ru-RU"/>
        </w:rPr>
        <w:t> </w:t>
      </w:r>
      <w:r w:rsidRPr="00A26CAE">
        <w:rPr>
          <w:rFonts w:ascii="Arial" w:hAnsi="Arial" w:cs="Arial"/>
          <w:bCs/>
          <w:sz w:val="22"/>
          <w:szCs w:val="22"/>
          <w:lang w:val="ru-RU"/>
        </w:rPr>
        <w:t>ЕС-53/2) и статьей 10 Устава МОК для рассмотрения Ассамблеей МОК на ее 32</w:t>
      </w:r>
      <w:r w:rsidR="00BD24DB">
        <w:rPr>
          <w:rFonts w:ascii="Arial" w:hAnsi="Arial" w:cs="Arial"/>
          <w:bCs/>
          <w:sz w:val="22"/>
          <w:szCs w:val="22"/>
          <w:lang w:val="ru-RU"/>
        </w:rPr>
        <w:noBreakHyphen/>
      </w:r>
      <w:r w:rsidRPr="00A26CAE">
        <w:rPr>
          <w:rFonts w:ascii="Arial" w:hAnsi="Arial" w:cs="Arial"/>
          <w:bCs/>
          <w:sz w:val="22"/>
          <w:szCs w:val="22"/>
          <w:lang w:val="ru-RU"/>
        </w:rPr>
        <w:t>й</w:t>
      </w:r>
      <w:r w:rsidR="00BD24DB">
        <w:rPr>
          <w:rFonts w:ascii="Arial" w:hAnsi="Arial" w:cs="Arial"/>
          <w:bCs/>
          <w:sz w:val="22"/>
          <w:szCs w:val="22"/>
          <w:lang w:val="ru-RU"/>
        </w:rPr>
        <w:t> </w:t>
      </w:r>
      <w:r w:rsidRPr="00A26CAE">
        <w:rPr>
          <w:rFonts w:ascii="Arial" w:hAnsi="Arial" w:cs="Arial"/>
          <w:bCs/>
          <w:sz w:val="22"/>
          <w:szCs w:val="22"/>
          <w:lang w:val="ru-RU"/>
        </w:rPr>
        <w:t>сессии</w:t>
      </w:r>
      <w:r w:rsidRPr="00BD24DB">
        <w:rPr>
          <w:rFonts w:ascii="Arial" w:hAnsi="Arial" w:cs="Arial"/>
          <w:bCs/>
          <w:sz w:val="22"/>
          <w:szCs w:val="22"/>
          <w:lang w:val="ru-RU"/>
        </w:rPr>
        <w:t>.</w:t>
      </w:r>
    </w:p>
    <w:p w14:paraId="4815F715" w14:textId="77777777" w:rsidR="00A26CAE" w:rsidRPr="00BD24DB" w:rsidRDefault="00A26CAE" w:rsidP="004024C3">
      <w:pPr>
        <w:spacing w:before="360" w:after="240"/>
        <w:jc w:val="center"/>
        <w:rPr>
          <w:rFonts w:ascii="Arial" w:hAnsi="Arial" w:cs="Arial"/>
          <w:sz w:val="22"/>
          <w:szCs w:val="22"/>
          <w:u w:val="single"/>
          <w:lang w:val="ru-RU"/>
        </w:rPr>
      </w:pPr>
      <w:r w:rsidRPr="00BD24DB">
        <w:rPr>
          <w:rFonts w:ascii="Arial" w:hAnsi="Arial" w:cs="Arial"/>
          <w:sz w:val="22"/>
          <w:szCs w:val="22"/>
          <w:u w:val="single"/>
          <w:lang w:val="ru-RU"/>
        </w:rPr>
        <w:t>Приложение 1 к резолюции А-31/[4.4]</w:t>
      </w:r>
    </w:p>
    <w:p w14:paraId="0DB4BE84" w14:textId="77777777" w:rsidR="00A26CAE" w:rsidRPr="00BD24DB" w:rsidRDefault="00A26CAE" w:rsidP="00BD24DB">
      <w:pPr>
        <w:spacing w:after="240"/>
        <w:jc w:val="center"/>
        <w:rPr>
          <w:rFonts w:ascii="Arial" w:hAnsi="Arial" w:cs="Arial"/>
          <w:sz w:val="22"/>
          <w:szCs w:val="22"/>
          <w:lang w:val="ru-RU"/>
        </w:rPr>
      </w:pPr>
      <w:r w:rsidRPr="00BD24DB">
        <w:rPr>
          <w:rFonts w:ascii="Arial" w:eastAsia="Arial" w:hAnsi="Arial" w:cs="Arial"/>
          <w:b/>
          <w:bCs/>
          <w:snapToGrid/>
          <w:color w:val="000000"/>
          <w:sz w:val="22"/>
          <w:szCs w:val="22"/>
          <w:lang w:val="ru-RU"/>
        </w:rPr>
        <w:t>Среднесрочная стратегия МОК на 2022</w:t>
      </w:r>
      <w:r w:rsidR="00BD24DB">
        <w:rPr>
          <w:rFonts w:ascii="Arial" w:eastAsia="Arial" w:hAnsi="Arial" w:cs="Arial"/>
          <w:b/>
          <w:bCs/>
          <w:snapToGrid/>
          <w:color w:val="000000"/>
          <w:sz w:val="22"/>
          <w:szCs w:val="22"/>
          <w:lang w:val="ru-RU"/>
        </w:rPr>
        <w:t>-</w:t>
      </w:r>
      <w:r w:rsidRPr="00BD24DB">
        <w:rPr>
          <w:rFonts w:ascii="Arial" w:eastAsia="Arial" w:hAnsi="Arial" w:cs="Arial"/>
          <w:b/>
          <w:bCs/>
          <w:snapToGrid/>
          <w:color w:val="000000"/>
          <w:sz w:val="22"/>
          <w:szCs w:val="22"/>
          <w:lang w:val="ru-RU"/>
        </w:rPr>
        <w:t>2029 гг. (41</w:t>
      </w:r>
      <w:r w:rsidRPr="00BD24DB">
        <w:rPr>
          <w:rFonts w:ascii="Arial" w:eastAsia="Arial" w:hAnsi="Arial" w:cs="Arial"/>
          <w:b/>
          <w:bCs/>
          <w:snapToGrid/>
          <w:color w:val="000000"/>
          <w:sz w:val="22"/>
          <w:szCs w:val="22"/>
        </w:rPr>
        <w:t> C</w:t>
      </w:r>
      <w:r w:rsidRPr="00BD24DB">
        <w:rPr>
          <w:rFonts w:ascii="Arial" w:eastAsia="Arial" w:hAnsi="Arial" w:cs="Arial"/>
          <w:b/>
          <w:bCs/>
          <w:snapToGrid/>
          <w:color w:val="000000"/>
          <w:sz w:val="22"/>
          <w:szCs w:val="22"/>
          <w:lang w:val="ru-RU"/>
        </w:rPr>
        <w:t>/4)</w:t>
      </w:r>
    </w:p>
    <w:p w14:paraId="69FD9848" w14:textId="77777777" w:rsidR="004024C3" w:rsidRPr="004024C3" w:rsidRDefault="004024C3" w:rsidP="004024C3">
      <w:pPr>
        <w:spacing w:after="160" w:line="259" w:lineRule="auto"/>
        <w:rPr>
          <w:rFonts w:asciiTheme="minorBidi" w:hAnsiTheme="minorBidi" w:cstheme="minorBidi"/>
          <w:color w:val="000000"/>
          <w:sz w:val="22"/>
          <w:szCs w:val="22"/>
        </w:rPr>
      </w:pPr>
      <w:r w:rsidRPr="004024C3">
        <w:rPr>
          <w:rFonts w:asciiTheme="minorBidi" w:eastAsia="Calibri" w:hAnsiTheme="minorBidi" w:cstheme="minorBidi"/>
          <w:b/>
          <w:bCs/>
          <w:color w:val="000000"/>
          <w:sz w:val="22"/>
          <w:szCs w:val="22"/>
        </w:rPr>
        <w:t xml:space="preserve">СОДЕРЖАНИЕ </w:t>
      </w:r>
    </w:p>
    <w:p w14:paraId="40C7E330" w14:textId="77777777" w:rsidR="004024C3" w:rsidRPr="004024C3" w:rsidRDefault="004024C3" w:rsidP="004024C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40" w:line="259" w:lineRule="auto"/>
        <w:ind w:left="378" w:hanging="378"/>
        <w:rPr>
          <w:rFonts w:asciiTheme="minorBidi" w:hAnsiTheme="minorBidi" w:cstheme="minorBidi"/>
          <w:color w:val="000000"/>
          <w:sz w:val="22"/>
          <w:szCs w:val="22"/>
        </w:rPr>
      </w:pPr>
      <w:r w:rsidRPr="004024C3">
        <w:rPr>
          <w:rFonts w:asciiTheme="minorBidi" w:eastAsia="Calibri" w:hAnsiTheme="minorBidi" w:cstheme="minorBidi"/>
          <w:color w:val="000000"/>
          <w:sz w:val="22"/>
          <w:szCs w:val="22"/>
        </w:rPr>
        <w:t>ПРЕДИСЛОВИЕ</w:t>
      </w:r>
    </w:p>
    <w:p w14:paraId="4F638AE5" w14:textId="77777777" w:rsidR="004024C3" w:rsidRPr="004024C3" w:rsidRDefault="004024C3" w:rsidP="004024C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40" w:line="259" w:lineRule="auto"/>
        <w:ind w:left="378" w:hanging="378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eastAsia="Calibri" w:hAnsiTheme="minorBidi" w:cstheme="minorBidi"/>
          <w:color w:val="000000"/>
          <w:sz w:val="22"/>
          <w:szCs w:val="22"/>
          <w:lang w:val="ru-RU"/>
        </w:rPr>
        <w:t xml:space="preserve">ЦЕЛИ ВЫСОКОГО УРОВНЯ И ПРИОРИТЕТЫ МОК </w:t>
      </w:r>
    </w:p>
    <w:p w14:paraId="38D44098" w14:textId="77777777" w:rsidR="004024C3" w:rsidRPr="004024C3" w:rsidRDefault="004024C3" w:rsidP="004024C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40" w:line="259" w:lineRule="auto"/>
        <w:ind w:left="378" w:hanging="378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  <w:r w:rsidRPr="004024C3">
        <w:rPr>
          <w:rFonts w:asciiTheme="minorBidi" w:eastAsia="Calibri" w:hAnsiTheme="minorBidi" w:cstheme="minorBidi"/>
          <w:color w:val="000000"/>
          <w:sz w:val="22"/>
          <w:szCs w:val="22"/>
        </w:rPr>
        <w:t>РЕАЛИЗАЦИЯ СТРАТЕГИИ</w:t>
      </w:r>
    </w:p>
    <w:p w14:paraId="41BED30C" w14:textId="77777777" w:rsidR="004024C3" w:rsidRPr="004024C3" w:rsidRDefault="004024C3" w:rsidP="004024C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40" w:line="259" w:lineRule="auto"/>
        <w:ind w:left="378" w:hanging="378"/>
        <w:textAlignment w:val="baseline"/>
        <w:rPr>
          <w:rFonts w:asciiTheme="minorBidi" w:eastAsia="Calibri" w:hAnsiTheme="minorBidi" w:cstheme="minorBidi"/>
          <w:color w:val="000000"/>
          <w:sz w:val="22"/>
          <w:szCs w:val="22"/>
        </w:rPr>
      </w:pPr>
      <w:r w:rsidRPr="004024C3">
        <w:rPr>
          <w:rFonts w:asciiTheme="minorBidi" w:eastAsia="Calibri" w:hAnsiTheme="minorBidi" w:cstheme="minorBidi"/>
          <w:color w:val="000000"/>
          <w:sz w:val="22"/>
          <w:szCs w:val="22"/>
        </w:rPr>
        <w:t>РАБОТА НА МЕСТАХ</w:t>
      </w:r>
    </w:p>
    <w:p w14:paraId="50B3464E" w14:textId="77777777" w:rsidR="004024C3" w:rsidRPr="004024C3" w:rsidRDefault="004024C3" w:rsidP="004024C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240" w:line="259" w:lineRule="auto"/>
        <w:ind w:left="378" w:hanging="378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eastAsia="Calibri" w:hAnsiTheme="minorBidi" w:cstheme="minorBidi"/>
          <w:color w:val="000000"/>
          <w:sz w:val="22"/>
          <w:szCs w:val="22"/>
          <w:lang w:val="ru-RU"/>
        </w:rPr>
        <w:t>ВЗАИМОДЕЙСТВИЕ С КЛЮЧЕВЫМИ ПАРТНЕРАМИ И ЗАИНТЕРЕСОВАННЫМИ СТОРОНАМИ</w:t>
      </w:r>
    </w:p>
    <w:p w14:paraId="089CFB1A" w14:textId="77777777" w:rsidR="004024C3" w:rsidRPr="00D7600F" w:rsidRDefault="004024C3" w:rsidP="004024C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color w:val="000000"/>
          <w:szCs w:val="22"/>
          <w:lang w:val="ru-RU"/>
        </w:rPr>
      </w:pPr>
    </w:p>
    <w:p w14:paraId="0959C2FB" w14:textId="77777777" w:rsidR="004024C3" w:rsidRDefault="004024C3" w:rsidP="004024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noProof/>
          <w:color w:val="000000"/>
          <w:szCs w:val="22"/>
          <w:lang w:val="ru-RU" w:eastAsia="ru-RU"/>
        </w:rPr>
        <w:lastRenderedPageBreak/>
        <w:drawing>
          <wp:inline distT="0" distB="0" distL="0" distR="0" wp14:anchorId="68B7A2DC" wp14:editId="67EFD3D8">
            <wp:extent cx="4742473" cy="3556996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2473" cy="35569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99C2F1" w14:textId="77777777" w:rsidR="004024C3" w:rsidRPr="004024C3" w:rsidRDefault="004024C3" w:rsidP="004024C3">
      <w:pPr>
        <w:spacing w:after="160" w:line="259" w:lineRule="auto"/>
        <w:rPr>
          <w:rFonts w:asciiTheme="minorBidi" w:hAnsiTheme="minorBidi" w:cstheme="minorBidi"/>
          <w:color w:val="000000"/>
          <w:sz w:val="22"/>
          <w:szCs w:val="22"/>
        </w:rPr>
      </w:pPr>
      <w:r w:rsidRPr="004024C3">
        <w:rPr>
          <w:rFonts w:asciiTheme="minorBidi" w:hAnsiTheme="minorBidi" w:cstheme="minorBidi"/>
          <w:b/>
          <w:bCs/>
          <w:color w:val="000000"/>
          <w:sz w:val="22"/>
          <w:szCs w:val="22"/>
        </w:rPr>
        <w:t>МИССИЯ</w:t>
      </w:r>
      <w:r w:rsidRPr="004024C3">
        <w:rPr>
          <w:rFonts w:asciiTheme="minorBidi" w:hAnsiTheme="minorBidi" w:cstheme="minorBidi"/>
          <w:b/>
          <w:bCs/>
          <w:sz w:val="22"/>
          <w:szCs w:val="22"/>
        </w:rPr>
        <w:t xml:space="preserve"> МОК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4024C3" w:rsidRPr="0096585C" w14:paraId="26F5D5D4" w14:textId="77777777" w:rsidTr="00CE6146">
        <w:trPr>
          <w:trHeight w:val="1546"/>
        </w:trPr>
        <w:tc>
          <w:tcPr>
            <w:tcW w:w="9776" w:type="dxa"/>
            <w:shd w:val="clear" w:color="auto" w:fill="1F497D"/>
          </w:tcPr>
          <w:p w14:paraId="4CD87463" w14:textId="77777777" w:rsidR="004024C3" w:rsidRPr="004024C3" w:rsidRDefault="004024C3" w:rsidP="00681BE7">
            <w:pPr>
              <w:spacing w:before="240" w:after="240" w:line="259" w:lineRule="auto"/>
              <w:jc w:val="both"/>
              <w:rPr>
                <w:rFonts w:asciiTheme="minorBidi" w:hAnsiTheme="minorBidi" w:cstheme="minorBidi"/>
                <w:color w:val="FFFFFF"/>
                <w:lang w:val="ru-RU"/>
              </w:rPr>
            </w:pPr>
            <w:r w:rsidRPr="004024C3">
              <w:rPr>
                <w:rFonts w:asciiTheme="minorBidi" w:hAnsiTheme="minorBidi" w:cstheme="minorBidi"/>
                <w:color w:val="FFFFFF"/>
                <w:sz w:val="22"/>
                <w:szCs w:val="22"/>
                <w:lang w:val="ru-RU"/>
              </w:rPr>
              <w:t>Целью Комиссии является содействие международному сотрудничеству и координация программ, касающихся исследований, служб и укрепления потенциала в интересах расширения знаний о природе и ресурсах океана и прибрежных районов, а также использования этих знаний для совершенствования управления, обеспечения устойчивого развития, охраны морской среды и облегчения процессов принятия решений ее государствами-членами.</w:t>
            </w:r>
          </w:p>
        </w:tc>
      </w:tr>
    </w:tbl>
    <w:p w14:paraId="4018F404" w14:textId="77777777" w:rsidR="004024C3" w:rsidRPr="004024C3" w:rsidRDefault="004024C3" w:rsidP="004024C3">
      <w:pPr>
        <w:spacing w:after="160" w:line="259" w:lineRule="auto"/>
        <w:rPr>
          <w:rFonts w:asciiTheme="minorBidi" w:eastAsia="Calibri" w:hAnsiTheme="minorBidi" w:cstheme="minorBidi"/>
          <w:b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i/>
          <w:iCs/>
          <w:sz w:val="22"/>
          <w:szCs w:val="22"/>
          <w:lang w:val="ru-RU"/>
        </w:rPr>
        <w:t xml:space="preserve">(Статья 2.1 </w:t>
      </w:r>
      <w:hyperlink r:id="rId24">
        <w:r w:rsidRPr="004024C3">
          <w:rPr>
            <w:rFonts w:asciiTheme="minorBidi" w:hAnsiTheme="minorBidi" w:cstheme="minorBidi"/>
            <w:i/>
            <w:iCs/>
            <w:color w:val="0000FF"/>
            <w:sz w:val="22"/>
            <w:szCs w:val="22"/>
            <w:u w:val="single"/>
            <w:lang w:val="ru-RU"/>
          </w:rPr>
          <w:t>Устава МОК</w:t>
        </w:r>
      </w:hyperlink>
      <w:r w:rsidRPr="004024C3">
        <w:rPr>
          <w:rFonts w:asciiTheme="minorBidi" w:hAnsiTheme="minorBidi" w:cstheme="minorBidi"/>
          <w:i/>
          <w:iCs/>
          <w:sz w:val="22"/>
          <w:szCs w:val="22"/>
          <w:u w:val="single"/>
          <w:lang w:val="ru-RU"/>
        </w:rPr>
        <w:t>)</w:t>
      </w:r>
    </w:p>
    <w:p w14:paraId="18561AAB" w14:textId="77777777" w:rsidR="004024C3" w:rsidRPr="004024C3" w:rsidRDefault="004024C3" w:rsidP="004024C3">
      <w:pPr>
        <w:spacing w:after="160" w:line="259" w:lineRule="auto"/>
        <w:jc w:val="right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b/>
          <w:bCs/>
          <w:sz w:val="22"/>
          <w:szCs w:val="22"/>
          <w:lang w:val="ru-RU"/>
        </w:rPr>
        <w:t>ЗАЯВЛЕНИЕ МОК О ПЕРСПЕКТИВНОМ ВИДЕНИИ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4024C3" w:rsidRPr="0096585C" w14:paraId="3AF4D2D7" w14:textId="77777777" w:rsidTr="00CE6146">
        <w:trPr>
          <w:trHeight w:val="521"/>
        </w:trPr>
        <w:tc>
          <w:tcPr>
            <w:tcW w:w="9776" w:type="dxa"/>
            <w:shd w:val="clear" w:color="auto" w:fill="DEE6EF"/>
          </w:tcPr>
          <w:p w14:paraId="3A49C419" w14:textId="77777777" w:rsidR="004024C3" w:rsidRPr="004024C3" w:rsidRDefault="004024C3" w:rsidP="00CE6146">
            <w:pPr>
              <w:spacing w:after="160"/>
              <w:rPr>
                <w:rFonts w:asciiTheme="minorBidi" w:hAnsiTheme="minorBidi" w:cstheme="minorBidi"/>
                <w:color w:val="000000"/>
                <w:lang w:val="ru-RU"/>
              </w:rPr>
            </w:pPr>
            <w:r w:rsidRPr="004024C3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Объединить усилия правительств и научного сообщества для достижения «Океана, который нам нужен, в интересах будущего, которого мы хотим».  </w:t>
            </w:r>
          </w:p>
        </w:tc>
      </w:tr>
    </w:tbl>
    <w:p w14:paraId="5D496130" w14:textId="77777777" w:rsidR="004024C3" w:rsidRPr="00681BE7" w:rsidRDefault="004024C3" w:rsidP="004024C3">
      <w:pPr>
        <w:pBdr>
          <w:bottom w:val="single" w:sz="4" w:space="1" w:color="000000"/>
        </w:pBdr>
        <w:rPr>
          <w:rFonts w:asciiTheme="minorBidi" w:hAnsiTheme="minorBidi" w:cstheme="minorBidi"/>
          <w:b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sz w:val="22"/>
          <w:szCs w:val="22"/>
          <w:lang w:val="ru-RU"/>
        </w:rPr>
        <w:br w:type="column"/>
      </w:r>
      <w:r w:rsidRPr="00681BE7">
        <w:rPr>
          <w:rFonts w:asciiTheme="minorBidi" w:hAnsiTheme="minorBidi" w:cstheme="minorBidi"/>
          <w:b/>
          <w:bCs/>
          <w:color w:val="000000"/>
          <w:sz w:val="22"/>
          <w:szCs w:val="22"/>
          <w:lang w:val="ru-RU"/>
        </w:rPr>
        <w:lastRenderedPageBreak/>
        <w:t>Предисловие</w:t>
      </w:r>
    </w:p>
    <w:p w14:paraId="63225B88" w14:textId="77777777" w:rsidR="004024C3" w:rsidRPr="00681BE7" w:rsidRDefault="004024C3" w:rsidP="004024C3">
      <w:pPr>
        <w:rPr>
          <w:rFonts w:asciiTheme="minorBidi" w:hAnsiTheme="minorBidi" w:cstheme="minorBidi"/>
          <w:color w:val="000000"/>
          <w:sz w:val="22"/>
          <w:szCs w:val="22"/>
          <w:lang w:val="ru-RU"/>
        </w:rPr>
      </w:pPr>
    </w:p>
    <w:p w14:paraId="381E5C3B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adjustRightInd w:val="0"/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Океан является крупнейшей экосистемой планеты Земля. Благодаря ему наша планета именно таким образом выглядит из космоса. Люди должны жить в гармонии с океаном. Чтобы продолжать пользоваться жизнеобеспечивающей функцией океана, необходимо найти баланс между постоянно растущим использованием океанического пространства и ресурсов и восстановлением и поддержанием здоровья океана, которое в настоящее время стремительно ухудшается. Это понимание отражено в формулировке Цели устойчивого развития 14 Повестки дня на период до 2030 года: </w:t>
      </w:r>
      <w:r w:rsidRPr="004024C3">
        <w:rPr>
          <w:rFonts w:asciiTheme="minorBidi" w:hAnsiTheme="minorBidi" w:cstheme="minorBidi"/>
          <w:i/>
          <w:iCs/>
          <w:color w:val="000000"/>
          <w:sz w:val="22"/>
          <w:szCs w:val="22"/>
          <w:lang w:val="ru-RU"/>
        </w:rPr>
        <w:t>«Сохранение и рациональное использование океанов, морей и морских ресурсов в интересах устойчивого развития».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 </w:t>
      </w:r>
    </w:p>
    <w:p w14:paraId="7FC50584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adjustRightInd w:val="0"/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Роль океана для климата, снижения риска бедствий, будущего островных государств отражена в Парижском соглашении РКИКООН, Конвенции о биологическом разнообразии, Сендайской рамочной программе ООН по снижению риска бедствий и Программе действий по ускоренному развитию МОСРГ («Путь САМОА»)</w:t>
      </w:r>
      <w:r w:rsidR="00681BE7" w:rsidRPr="00681BE7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 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и в ряде региональных, субрегиональных и национальных рамочных программ действий или стратегий развития. В сложном мире, в котором мы живем, с продолжающимся и ускоряющимся изменением климата, успех всех этих механизмов зависит от способности науки предложить необходимые решения, а также от способности и желания заинтересованных сторон эффективно применять эти решения. </w:t>
      </w:r>
    </w:p>
    <w:p w14:paraId="4471A119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adjustRightInd w:val="0"/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Поэтому ключевая роль Межправительственной океанографической комиссии ЮНЕСКО заключается в объединении усилий научных сообществ, правительственной системы принятия решений и более широкого круга заинтересованных сторон среди государств-членов, включая частный сектор и гражданское общество в целом, для разработки эффективного, научно обоснованного комплексного управления океаном и прибрежными районами и выработки соответствующих решений с учетом соответствующих знаний коренных народов и местных и традиционных знаний. Никогда еще в истории нашей цивилизации вопрос такого сотрудничество не стоял так остро. </w:t>
      </w:r>
    </w:p>
    <w:p w14:paraId="563E1792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adjustRightInd w:val="0"/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Для управления океаном необходимо включить науку об океане в основное русло деятельности. Появление международного юридически обязательного документа по сохранению и устойчивому использованию морского биологического разнообразия районов за пределами действия национальной юрисдикции (БПНЮ) в рамках Конвенции ООН по морскому праву (ЮНКЛОС) означает, что юридически обязательные обязательства государств начинают все больше зависеть океанологии. Успешное выполнение программы МОК в период Среднесрочной стратегии 2014–2021 гг. и возглавляемые МОК планирование и координация Десятилетия ООН, посвященного науке об океане в интересах устойчивого развития (2021–2030 гг.), вывели МОК на ведущую позицию в работе по систематическому обеспечению связанных с океаном решений глобальных проблем современности. Однако способность МОК выполнять все расширяющийся круг своих задач и реагировать как на целевые установки Десятилетия, так и на чаяния и потребности своих государств-членов потребует, в свою очередь, более сильной поддержки со стороны правительств, более авторитетного потенциала принятия решений от руководящих органов МОК, а также адекватной и надежной совместной разработки всей цепочки создания ценности современной науки об океане и инвестиций в нее.</w:t>
      </w:r>
    </w:p>
    <w:tbl>
      <w:tblPr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3"/>
        <w:gridCol w:w="4635"/>
      </w:tblGrid>
      <w:tr w:rsidR="004024C3" w:rsidRPr="0096585C" w14:paraId="7096EDAB" w14:textId="77777777" w:rsidTr="00CE6146">
        <w:trPr>
          <w:trHeight w:val="788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B0D90" w14:textId="77777777" w:rsidR="004024C3" w:rsidRPr="004024C3" w:rsidRDefault="004024C3" w:rsidP="00CE6146">
            <w:pPr>
              <w:spacing w:after="240"/>
              <w:rPr>
                <w:rFonts w:asciiTheme="minorBidi" w:hAnsiTheme="minorBidi" w:cstheme="minorBidi"/>
                <w:color w:val="000000"/>
                <w:lang w:val="ru-RU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418C4" w14:textId="77777777" w:rsidR="004024C3" w:rsidRPr="004024C3" w:rsidRDefault="004024C3" w:rsidP="00CE6146">
            <w:pPr>
              <w:spacing w:after="240"/>
              <w:rPr>
                <w:rFonts w:asciiTheme="minorBidi" w:hAnsiTheme="minorBidi" w:cstheme="minorBidi"/>
                <w:color w:val="000000"/>
                <w:lang w:val="ru-RU"/>
              </w:rPr>
            </w:pPr>
          </w:p>
        </w:tc>
      </w:tr>
      <w:tr w:rsidR="004024C3" w:rsidRPr="004024C3" w14:paraId="396B13F7" w14:textId="77777777" w:rsidTr="00CE6146"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8AA7C" w14:textId="77777777" w:rsidR="004024C3" w:rsidRPr="00681BE7" w:rsidRDefault="004024C3" w:rsidP="00681BE7">
            <w:pPr>
              <w:ind w:left="598"/>
              <w:rPr>
                <w:rFonts w:asciiTheme="minorBidi" w:hAnsiTheme="minorBidi" w:cstheme="minorBidi"/>
                <w:color w:val="000000"/>
                <w:lang w:val="ru-RU"/>
              </w:rPr>
            </w:pPr>
            <w:r w:rsidRPr="00681BE7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Ариэль Эрнан Троиси</w:t>
            </w:r>
          </w:p>
          <w:p w14:paraId="58215081" w14:textId="77777777" w:rsidR="004024C3" w:rsidRPr="00681BE7" w:rsidRDefault="004024C3" w:rsidP="00681BE7">
            <w:pPr>
              <w:spacing w:after="240"/>
              <w:ind w:left="598"/>
              <w:rPr>
                <w:rFonts w:asciiTheme="minorBidi" w:hAnsiTheme="minorBidi" w:cstheme="minorBidi"/>
                <w:color w:val="000000"/>
                <w:lang w:val="ru-RU"/>
              </w:rPr>
            </w:pPr>
            <w:r w:rsidRPr="00681BE7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>Председатель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A4F90" w14:textId="77777777" w:rsidR="004024C3" w:rsidRPr="00681BE7" w:rsidRDefault="004024C3" w:rsidP="00681BE7">
            <w:pPr>
              <w:ind w:left="273"/>
              <w:rPr>
                <w:rFonts w:asciiTheme="minorBidi" w:hAnsiTheme="minorBidi" w:cstheme="minorBidi"/>
                <w:color w:val="000000"/>
                <w:lang w:val="ru-RU"/>
              </w:rPr>
            </w:pPr>
            <w:r w:rsidRPr="00681BE7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t xml:space="preserve">Владимир Рябинин </w:t>
            </w:r>
            <w:r w:rsidRPr="00681BE7">
              <w:rPr>
                <w:rFonts w:asciiTheme="minorBidi" w:hAnsiTheme="minorBidi" w:cstheme="minorBidi"/>
                <w:color w:val="000000"/>
                <w:sz w:val="22"/>
                <w:szCs w:val="22"/>
                <w:lang w:val="ru-RU"/>
              </w:rPr>
              <w:br/>
              <w:t>Исполнительный секретарь</w:t>
            </w:r>
          </w:p>
        </w:tc>
      </w:tr>
    </w:tbl>
    <w:p w14:paraId="5BE9BD9A" w14:textId="77777777" w:rsidR="004024C3" w:rsidRPr="004024C3" w:rsidRDefault="004024C3" w:rsidP="004024C3">
      <w:pPr>
        <w:spacing w:after="160" w:line="259" w:lineRule="auto"/>
        <w:rPr>
          <w:rFonts w:asciiTheme="minorBidi" w:eastAsia="Calibri" w:hAnsiTheme="minorBidi" w:cstheme="minorBidi"/>
          <w:b/>
          <w:i/>
          <w:color w:val="000000"/>
          <w:sz w:val="22"/>
          <w:szCs w:val="22"/>
        </w:rPr>
      </w:pPr>
      <w:r w:rsidRPr="004024C3">
        <w:rPr>
          <w:rFonts w:asciiTheme="minorBidi" w:hAnsiTheme="minorBidi" w:cstheme="minorBidi"/>
          <w:sz w:val="22"/>
          <w:szCs w:val="22"/>
        </w:rPr>
        <w:br w:type="page"/>
      </w:r>
    </w:p>
    <w:p w14:paraId="311B92BD" w14:textId="77777777" w:rsidR="004024C3" w:rsidRPr="004024C3" w:rsidRDefault="004024C3" w:rsidP="004024C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59" w:lineRule="auto"/>
        <w:rPr>
          <w:rFonts w:asciiTheme="minorBidi" w:hAnsiTheme="minorBidi" w:cstheme="minorBidi"/>
          <w:b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b/>
          <w:bCs/>
          <w:color w:val="000000"/>
          <w:sz w:val="22"/>
          <w:szCs w:val="22"/>
          <w:lang w:val="ru-RU"/>
        </w:rPr>
        <w:lastRenderedPageBreak/>
        <w:t xml:space="preserve">ЦЕЛИ ВЫСОКОГО УРОВНЯ И ПРИОРИТЕТЫ МОК </w:t>
      </w:r>
    </w:p>
    <w:p w14:paraId="09D935AE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12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bookmarkStart w:id="1" w:name="_heading=h.gjdgxs" w:colFirst="0" w:colLast="0"/>
      <w:bookmarkEnd w:id="1"/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Посредством международного сотрудничества МОК стремится создавать и применять научные знания для достижения следующих целей высокого уровня (ЦВУ), уделяя особое внимание обеспечению того, чтобы все государства-члены располагали потенциалом для их решения:</w:t>
      </w:r>
    </w:p>
    <w:p w14:paraId="6CECFF98" w14:textId="77777777" w:rsidR="004024C3" w:rsidRPr="004024C3" w:rsidRDefault="004024C3" w:rsidP="004024C3">
      <w:pPr>
        <w:numPr>
          <w:ilvl w:val="0"/>
          <w:numId w:val="20"/>
        </w:numPr>
        <w:spacing w:after="120"/>
        <w:ind w:left="1134" w:hanging="567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Здоровый океан и устойчивые океанические экосистемные услуги;</w:t>
      </w:r>
    </w:p>
    <w:p w14:paraId="5B164A93" w14:textId="77777777" w:rsidR="004024C3" w:rsidRPr="004024C3" w:rsidRDefault="004024C3" w:rsidP="004024C3">
      <w:pPr>
        <w:numPr>
          <w:ilvl w:val="0"/>
          <w:numId w:val="20"/>
        </w:numPr>
        <w:spacing w:after="120"/>
        <w:ind w:left="1134" w:hanging="567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Эффективные системы предупреждения и готовность к цунами и другим опасным явлениям, связанным с океаном; </w:t>
      </w:r>
    </w:p>
    <w:p w14:paraId="0137DA06" w14:textId="77777777" w:rsidR="004024C3" w:rsidRPr="004024C3" w:rsidRDefault="004024C3" w:rsidP="004024C3">
      <w:pPr>
        <w:numPr>
          <w:ilvl w:val="0"/>
          <w:numId w:val="20"/>
        </w:numPr>
        <w:spacing w:after="120"/>
        <w:ind w:left="1134" w:hanging="567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Устойчивость к изменению климата и вклад в его смягчение; </w:t>
      </w:r>
    </w:p>
    <w:p w14:paraId="56B3CBE1" w14:textId="77777777" w:rsidR="004024C3" w:rsidRPr="004024C3" w:rsidRDefault="004024C3" w:rsidP="004024C3">
      <w:pPr>
        <w:numPr>
          <w:ilvl w:val="0"/>
          <w:numId w:val="20"/>
        </w:numPr>
        <w:spacing w:after="120"/>
        <w:ind w:left="1134" w:hanging="567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Научно обоснованные услуги для устойчивой экономики океана; </w:t>
      </w:r>
    </w:p>
    <w:p w14:paraId="4AA15D51" w14:textId="77777777" w:rsidR="004024C3" w:rsidRPr="004024C3" w:rsidRDefault="004024C3" w:rsidP="004024C3">
      <w:pPr>
        <w:numPr>
          <w:ilvl w:val="0"/>
          <w:numId w:val="20"/>
        </w:numPr>
        <w:spacing w:after="240"/>
        <w:ind w:left="1134" w:hanging="567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Прогнозирование возникающих проблем в области наук об океане. </w:t>
      </w:r>
    </w:p>
    <w:p w14:paraId="2B85C4EB" w14:textId="77777777" w:rsidR="004024C3" w:rsidRPr="004024C3" w:rsidRDefault="004024C3" w:rsidP="004024C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i/>
          <w:iCs/>
          <w:color w:val="000000"/>
          <w:sz w:val="22"/>
          <w:szCs w:val="22"/>
          <w:u w:val="single"/>
          <w:lang w:val="ru-RU"/>
        </w:rPr>
        <w:t>Цель 1</w:t>
      </w:r>
      <w:r w:rsidRPr="004024C3">
        <w:rPr>
          <w:rFonts w:asciiTheme="minorBidi" w:hAnsiTheme="minorBidi" w:cstheme="minorBidi"/>
          <w:i/>
          <w:iCs/>
          <w:color w:val="000000"/>
          <w:sz w:val="22"/>
          <w:szCs w:val="22"/>
          <w:lang w:val="ru-RU"/>
        </w:rPr>
        <w:t xml:space="preserve"> </w:t>
      </w:r>
      <w:r w:rsidR="00AC0502">
        <w:rPr>
          <w:rFonts w:asciiTheme="minorBidi" w:hAnsiTheme="minorBidi" w:cstheme="minorBidi"/>
          <w:i/>
          <w:iCs/>
          <w:color w:val="000000"/>
          <w:sz w:val="22"/>
          <w:szCs w:val="22"/>
          <w:lang w:val="ru-RU"/>
        </w:rPr>
        <w:t>–</w:t>
      </w:r>
      <w:r w:rsidRPr="004024C3">
        <w:rPr>
          <w:rFonts w:asciiTheme="minorBidi" w:hAnsiTheme="minorBidi" w:cstheme="minorBidi"/>
          <w:i/>
          <w:iCs/>
          <w:color w:val="000000"/>
          <w:sz w:val="22"/>
          <w:szCs w:val="22"/>
          <w:lang w:val="ru-RU"/>
        </w:rPr>
        <w:t xml:space="preserve"> </w:t>
      </w:r>
      <w:r w:rsidRPr="004024C3">
        <w:rPr>
          <w:rFonts w:asciiTheme="minorBidi" w:hAnsiTheme="minorBidi" w:cstheme="minorBidi"/>
          <w:b/>
          <w:bCs/>
          <w:color w:val="000000"/>
          <w:sz w:val="22"/>
          <w:szCs w:val="22"/>
          <w:lang w:val="ru-RU"/>
        </w:rPr>
        <w:t xml:space="preserve">Здоровый океан и устойчивые океанические экосистемные услуги </w:t>
      </w:r>
    </w:p>
    <w:p w14:paraId="45E032B4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ab/>
        <w:t xml:space="preserve">Улучшение научного понимания океанических экосистем, определение надежных показателей их здоровья и понимание уязвимости экосистем, например, к воздействию различных стрессовых факторов, являются жизненно необходимыми для мониторинга и прогнозирования здоровья и устойчивости экосистем и разработки </w:t>
      </w:r>
      <w:sdt>
        <w:sdtPr>
          <w:rPr>
            <w:rFonts w:asciiTheme="minorBidi" w:hAnsiTheme="minorBidi" w:cstheme="minorBidi"/>
            <w:sz w:val="22"/>
            <w:szCs w:val="22"/>
          </w:rPr>
          <w:tag w:val="goog_rdk_0"/>
          <w:id w:val="1256552361"/>
        </w:sdtPr>
        <w:sdtEndPr/>
        <w:sdtContent/>
      </w:sdt>
      <w:sdt>
        <w:sdtPr>
          <w:rPr>
            <w:rFonts w:asciiTheme="minorBidi" w:hAnsiTheme="minorBidi" w:cstheme="minorBidi"/>
            <w:sz w:val="22"/>
            <w:szCs w:val="22"/>
          </w:rPr>
          <w:tag w:val="goog_rdk_1"/>
          <w:id w:val="-214053420"/>
        </w:sdtPr>
        <w:sdtEndPr/>
        <w:sdtContent/>
      </w:sdt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экосистемного управления, лежащего в основе устойчивой экономики океана и усовершенствованного управления океаном. Текущие исследования экосистем и управление ими требуют более тесной координации и сотрудничества между основными заинтересованными сторонами.</w:t>
      </w:r>
    </w:p>
    <w:p w14:paraId="4505FA3C" w14:textId="77777777" w:rsidR="004024C3" w:rsidRPr="004024C3" w:rsidRDefault="004024C3" w:rsidP="004024C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i/>
          <w:iCs/>
          <w:color w:val="000000"/>
          <w:sz w:val="22"/>
          <w:szCs w:val="22"/>
          <w:u w:val="single"/>
          <w:lang w:val="ru-RU"/>
        </w:rPr>
        <w:t>Цель 2</w:t>
      </w:r>
      <w:r w:rsidRPr="004024C3">
        <w:rPr>
          <w:rFonts w:asciiTheme="minorBidi" w:hAnsiTheme="minorBidi" w:cstheme="minorBidi"/>
          <w:i/>
          <w:iCs/>
          <w:color w:val="000000"/>
          <w:sz w:val="22"/>
          <w:szCs w:val="22"/>
          <w:lang w:val="ru-RU"/>
        </w:rPr>
        <w:t xml:space="preserve"> </w:t>
      </w:r>
      <w:r w:rsidR="00AC0502">
        <w:rPr>
          <w:rFonts w:asciiTheme="minorBidi" w:hAnsiTheme="minorBidi" w:cstheme="minorBidi"/>
          <w:i/>
          <w:iCs/>
          <w:color w:val="000000"/>
          <w:sz w:val="22"/>
          <w:szCs w:val="22"/>
          <w:lang w:val="ru-RU"/>
        </w:rPr>
        <w:t>–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 </w:t>
      </w:r>
      <w:r w:rsidRPr="004024C3">
        <w:rPr>
          <w:rFonts w:asciiTheme="minorBidi" w:hAnsiTheme="minorBidi" w:cstheme="minorBidi"/>
          <w:b/>
          <w:bCs/>
          <w:color w:val="000000"/>
          <w:sz w:val="22"/>
          <w:szCs w:val="22"/>
          <w:lang w:val="ru-RU"/>
        </w:rPr>
        <w:t>Эффективные системы предупреждения и обеспечение готовности к цунами и другим опасным явлениям, связанным с океаном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 </w:t>
      </w:r>
    </w:p>
    <w:p w14:paraId="115D9748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С ускорением развития прибрежных районов и изменением окружающей среды общество становится все более уязвимым к таким опасным явлениям в прибрежной зоне, как вредоносное цветение водорослей, прибрежные наводнения, цунами и тропические циклоны. Государства должны знать об опасностях и иметь доступ к необходимой информации для планирования в прибрежной зоне, смягчения последствий опасного явления, адаптации к изменению климата и безопасной работы на море. Это требует дальнейшего внедрения систем наблюдения за океаном и прибрежными районами, совершенствования океанических, метеорологических и климатических моделей, а также разработки ряда местных инструментов поддержки принятия решений, включая системы раннего предупреждения.</w:t>
      </w:r>
    </w:p>
    <w:p w14:paraId="4E816392" w14:textId="77777777" w:rsidR="004024C3" w:rsidRPr="004024C3" w:rsidRDefault="004024C3" w:rsidP="004024C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i/>
          <w:iCs/>
          <w:color w:val="000000"/>
          <w:sz w:val="22"/>
          <w:szCs w:val="22"/>
          <w:u w:val="single"/>
          <w:lang w:val="ru-RU"/>
        </w:rPr>
        <w:t>Цель 3</w:t>
      </w:r>
      <w:r w:rsidRPr="004024C3">
        <w:rPr>
          <w:rFonts w:asciiTheme="minorBidi" w:hAnsiTheme="minorBidi" w:cstheme="minorBidi"/>
          <w:i/>
          <w:iCs/>
          <w:color w:val="000000"/>
          <w:sz w:val="22"/>
          <w:szCs w:val="22"/>
          <w:lang w:val="ru-RU"/>
        </w:rPr>
        <w:t xml:space="preserve"> </w:t>
      </w:r>
      <w:r w:rsidR="00AC0502">
        <w:rPr>
          <w:rFonts w:asciiTheme="minorBidi" w:hAnsiTheme="minorBidi" w:cstheme="minorBidi"/>
          <w:i/>
          <w:iCs/>
          <w:color w:val="000000"/>
          <w:sz w:val="22"/>
          <w:szCs w:val="22"/>
          <w:lang w:val="ru-RU"/>
        </w:rPr>
        <w:t>–</w:t>
      </w:r>
      <w:r w:rsidRPr="004024C3">
        <w:rPr>
          <w:rFonts w:asciiTheme="minorBidi" w:hAnsiTheme="minorBidi" w:cstheme="minorBidi"/>
          <w:i/>
          <w:iCs/>
          <w:color w:val="000000"/>
          <w:sz w:val="22"/>
          <w:szCs w:val="22"/>
          <w:lang w:val="ru-RU"/>
        </w:rPr>
        <w:t xml:space="preserve"> </w:t>
      </w:r>
      <w:r w:rsidRPr="004024C3">
        <w:rPr>
          <w:rFonts w:asciiTheme="minorBidi" w:hAnsiTheme="minorBidi" w:cstheme="minorBidi"/>
          <w:b/>
          <w:bCs/>
          <w:color w:val="000000"/>
          <w:sz w:val="22"/>
          <w:szCs w:val="22"/>
          <w:lang w:val="ru-RU"/>
        </w:rPr>
        <w:t xml:space="preserve">Устойчивость к изменению климата и вклад в его смягчение </w:t>
      </w:r>
    </w:p>
    <w:p w14:paraId="54D5BDA4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ab/>
      </w:r>
      <w:r w:rsidRPr="004024C3">
        <w:rPr>
          <w:rFonts w:asciiTheme="minorBidi" w:hAnsiTheme="minorBidi" w:cstheme="minorBidi"/>
          <w:sz w:val="22"/>
          <w:szCs w:val="22"/>
          <w:lang w:val="ru-RU"/>
        </w:rPr>
        <w:t xml:space="preserve">Изменение и изменчивость климата </w:t>
      </w:r>
      <w:sdt>
        <w:sdtPr>
          <w:rPr>
            <w:rFonts w:asciiTheme="minorBidi" w:hAnsiTheme="minorBidi" w:cstheme="minorBidi"/>
            <w:sz w:val="22"/>
            <w:szCs w:val="22"/>
          </w:rPr>
          <w:tag w:val="goog_rdk_2"/>
          <w:id w:val="-386955749"/>
        </w:sdtPr>
        <w:sdtEndPr/>
        <w:sdtContent/>
      </w:sdt>
      <w:sdt>
        <w:sdtPr>
          <w:rPr>
            <w:rFonts w:asciiTheme="minorBidi" w:hAnsiTheme="minorBidi" w:cstheme="minorBidi"/>
            <w:sz w:val="22"/>
            <w:szCs w:val="22"/>
          </w:rPr>
          <w:tag w:val="goog_rdk_3"/>
          <w:id w:val="178553657"/>
        </w:sdtPr>
        <w:sdtEndPr/>
        <w:sdtContent/>
      </w:sdt>
      <w:sdt>
        <w:sdtPr>
          <w:rPr>
            <w:rFonts w:asciiTheme="minorBidi" w:hAnsiTheme="minorBidi" w:cstheme="minorBidi"/>
            <w:sz w:val="22"/>
            <w:szCs w:val="22"/>
          </w:rPr>
          <w:tag w:val="goog_rdk_4"/>
          <w:id w:val="-2062083424"/>
        </w:sdtPr>
        <w:sdtEndPr/>
        <w:sdtContent/>
      </w:sdt>
      <w:r w:rsidRPr="004024C3">
        <w:rPr>
          <w:rFonts w:asciiTheme="minorBidi" w:hAnsiTheme="minorBidi" w:cstheme="minorBidi"/>
          <w:sz w:val="22"/>
          <w:szCs w:val="22"/>
          <w:lang w:val="ru-RU"/>
        </w:rPr>
        <w:t xml:space="preserve"> включают</w:t>
      </w:r>
      <w:r w:rsidR="00AC0502" w:rsidRPr="00AC0502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изменения температуры, изменение характера и интенсивности тропических циклонов, штормов, осадков и засух, повышение уровня моря и т.</w:t>
      </w:r>
      <w:r w:rsidRPr="004024C3">
        <w:rPr>
          <w:rFonts w:asciiTheme="minorBidi" w:hAnsiTheme="minorBidi" w:cstheme="minorBidi"/>
          <w:color w:val="000000"/>
          <w:sz w:val="22"/>
          <w:szCs w:val="22"/>
        </w:rPr>
        <w:t> 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д. Выбросы углерода также приводят к закислению океана. Совокупное воздействие проявляется в виде </w:t>
      </w:r>
      <w:sdt>
        <w:sdtPr>
          <w:rPr>
            <w:rFonts w:asciiTheme="minorBidi" w:hAnsiTheme="minorBidi" w:cstheme="minorBidi"/>
            <w:sz w:val="22"/>
            <w:szCs w:val="22"/>
          </w:rPr>
          <w:tag w:val="goog_rdk_5"/>
          <w:id w:val="1425999674"/>
        </w:sdtPr>
        <w:sdtEndPr/>
        <w:sdtContent/>
      </w:sdt>
      <w:r w:rsidRPr="004024C3">
        <w:rPr>
          <w:rFonts w:asciiTheme="minorBidi" w:hAnsiTheme="minorBidi" w:cstheme="minorBidi"/>
          <w:sz w:val="22"/>
          <w:szCs w:val="22"/>
          <w:lang w:val="ru-RU"/>
        </w:rPr>
        <w:t>деоксигенирования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 океана, эрозии прибрежных районов и т.</w:t>
      </w:r>
      <w:r w:rsidRPr="004024C3">
        <w:rPr>
          <w:rFonts w:asciiTheme="minorBidi" w:hAnsiTheme="minorBidi" w:cstheme="minorBidi"/>
          <w:color w:val="000000"/>
          <w:sz w:val="22"/>
          <w:szCs w:val="22"/>
        </w:rPr>
        <w:t> 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д. Изменение климата угрожает многим целям человеческого развития, таким как продовольственная безопасность и здоровье, доступ к водным ресурсам и готовность к стихийным бедствиям. Океан является ключевым регулятором климата. Поэтому необходимы скоординированные глобальные и региональные усилия, в том числе за счет поддержки Совместного совета по сотрудничеству ВМО-МОК, для всестороннего включения океанического аспекта в целях повышения потенциала понимания и прогнозирования изменения климата, его воздействия на океан, руководства разработкой и ускоренной реализацией эффективных стратегий адаптации и смягчения последствий.</w:t>
      </w:r>
    </w:p>
    <w:p w14:paraId="26D9221C" w14:textId="77777777" w:rsidR="004024C3" w:rsidRPr="004024C3" w:rsidRDefault="004024C3" w:rsidP="00AC0502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rPr>
          <w:rFonts w:asciiTheme="minorBidi" w:hAnsiTheme="minorBidi" w:cstheme="minorBidi"/>
          <w:i/>
          <w:color w:val="000000"/>
          <w:sz w:val="22"/>
          <w:szCs w:val="22"/>
          <w:u w:val="single"/>
          <w:lang w:val="ru-RU"/>
        </w:rPr>
      </w:pPr>
      <w:r w:rsidRPr="004024C3">
        <w:rPr>
          <w:rFonts w:asciiTheme="minorBidi" w:hAnsiTheme="minorBidi" w:cstheme="minorBidi"/>
          <w:i/>
          <w:iCs/>
          <w:color w:val="000000"/>
          <w:sz w:val="22"/>
          <w:szCs w:val="22"/>
          <w:u w:val="single"/>
          <w:lang w:val="ru-RU"/>
        </w:rPr>
        <w:lastRenderedPageBreak/>
        <w:t xml:space="preserve">Цель 4 </w:t>
      </w:r>
      <w:r w:rsidR="00AC0502">
        <w:rPr>
          <w:rFonts w:asciiTheme="minorBidi" w:hAnsiTheme="minorBidi" w:cstheme="minorBidi"/>
          <w:i/>
          <w:iCs/>
          <w:color w:val="000000"/>
          <w:sz w:val="22"/>
          <w:szCs w:val="22"/>
          <w:u w:val="single"/>
          <w:lang w:val="ru-RU"/>
        </w:rPr>
        <w:t>–</w:t>
      </w:r>
      <w:r w:rsidRPr="004024C3">
        <w:rPr>
          <w:rFonts w:asciiTheme="minorBidi" w:hAnsiTheme="minorBidi" w:cstheme="minorBidi"/>
          <w:i/>
          <w:iCs/>
          <w:color w:val="000000"/>
          <w:sz w:val="22"/>
          <w:szCs w:val="22"/>
          <w:u w:val="single"/>
          <w:lang w:val="ru-RU"/>
        </w:rPr>
        <w:t xml:space="preserve"> </w:t>
      </w:r>
      <w:r w:rsidRPr="004024C3">
        <w:rPr>
          <w:rFonts w:asciiTheme="minorBidi" w:hAnsiTheme="minorBidi" w:cstheme="minorBidi"/>
          <w:b/>
          <w:bCs/>
          <w:color w:val="000000"/>
          <w:sz w:val="22"/>
          <w:szCs w:val="22"/>
          <w:u w:val="single"/>
          <w:lang w:val="ru-RU"/>
        </w:rPr>
        <w:t>Научно обоснованные услуги для устойчивой экономики океана</w:t>
      </w:r>
    </w:p>
    <w:p w14:paraId="72FE445E" w14:textId="77777777" w:rsidR="004024C3" w:rsidRPr="004024C3" w:rsidRDefault="004024C3" w:rsidP="00AC0502">
      <w:pPr>
        <w:keepNext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ab/>
        <w:t>Устойчивость экономики океана связана с долгосрочной способностью океанических экосистем поддерживать деятельность человека. Для сохранения этого равновесия необходимы наблюдения за океаном, целевые информационные продукты и услуги, научные оценки, а также мониторинг и прогнозирование здоровья экосистем океана. Основанные на знаниях инструменты управления океаном, такие как морское пространственное планирование, управление прибрежными районами, охраняемые морские районы и управление крупными морскими экосистемами (КМЭ), способны помочь заинтересованным в океане сторонам поставить экологические и социально-экономические цели, разработать оперативные планы, определить безопасные границы и руководящие принципы для операций, а также сократить количество конфликтов между многочисленными видами использования океанического пространства.</w:t>
      </w:r>
    </w:p>
    <w:p w14:paraId="1F91ACD5" w14:textId="77777777" w:rsidR="004024C3" w:rsidRPr="004024C3" w:rsidRDefault="004024C3" w:rsidP="004024C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/>
        <w:rPr>
          <w:rFonts w:asciiTheme="minorBidi" w:hAnsiTheme="minorBidi" w:cstheme="minorBidi"/>
          <w:i/>
          <w:color w:val="000000"/>
          <w:sz w:val="22"/>
          <w:szCs w:val="22"/>
          <w:u w:val="single"/>
          <w:lang w:val="ru-RU"/>
        </w:rPr>
      </w:pPr>
      <w:r w:rsidRPr="004024C3">
        <w:rPr>
          <w:rFonts w:asciiTheme="minorBidi" w:hAnsiTheme="minorBidi" w:cstheme="minorBidi"/>
          <w:i/>
          <w:iCs/>
          <w:color w:val="000000"/>
          <w:sz w:val="22"/>
          <w:szCs w:val="22"/>
          <w:u w:val="single"/>
          <w:lang w:val="ru-RU"/>
        </w:rPr>
        <w:t xml:space="preserve">Цель 5 </w:t>
      </w:r>
      <w:r w:rsidR="00AC0502">
        <w:rPr>
          <w:rFonts w:asciiTheme="minorBidi" w:hAnsiTheme="minorBidi" w:cstheme="minorBidi"/>
          <w:i/>
          <w:iCs/>
          <w:color w:val="000000"/>
          <w:sz w:val="22"/>
          <w:szCs w:val="22"/>
          <w:u w:val="single"/>
          <w:lang w:val="ru-RU"/>
        </w:rPr>
        <w:t>–</w:t>
      </w:r>
      <w:r w:rsidRPr="004024C3">
        <w:rPr>
          <w:rFonts w:asciiTheme="minorBidi" w:hAnsiTheme="minorBidi" w:cstheme="minorBidi"/>
          <w:i/>
          <w:iCs/>
          <w:color w:val="000000"/>
          <w:sz w:val="22"/>
          <w:szCs w:val="22"/>
          <w:u w:val="single"/>
          <w:lang w:val="ru-RU"/>
        </w:rPr>
        <w:t xml:space="preserve"> </w:t>
      </w:r>
      <w:r w:rsidRPr="004024C3">
        <w:rPr>
          <w:rFonts w:asciiTheme="minorBidi" w:hAnsiTheme="minorBidi" w:cstheme="minorBidi"/>
          <w:b/>
          <w:bCs/>
          <w:color w:val="000000"/>
          <w:sz w:val="22"/>
          <w:szCs w:val="22"/>
          <w:u w:val="single"/>
          <w:lang w:val="ru-RU"/>
        </w:rPr>
        <w:t>Прогнозирование возникающих проблем в области наук об океане</w:t>
      </w:r>
    </w:p>
    <w:p w14:paraId="32A02366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ab/>
        <w:t xml:space="preserve">Океан остается одной из наименее изученных областей окружающей среды в системе Земли. Океанографические открытия все еще возможны. В океане постоянно возникают новые проблемы, которые потенциально могут повлиять на здоровье океанических экосистем, а также на благополучие человека. Новые стрессовые факторы, например, загрязняющие вещества или давление со стороны новых видов деятельности или отраслей, могут сочетаться с известными стрессорами, такими как закисление океана, изменение моделей углеродного цикла океана, деоксигенирование и изменение климата, и оказывать комплексное воздействие на экосистемы. Передовые исследования, инновации, технологические разработки, в том числе в области наблюдений и развития глобальной «экосистемы данных и информации», должны расширить наши возможности по прогнозированию таких возникающих проблем, обеспечить информирование при разработке политики, в том числе в контексте соответствующих региональных и глобальных конвенций, и способствовать продвижению своевременных решений с участием соответствующих заинтересованных сторон.  </w:t>
      </w:r>
    </w:p>
    <w:p w14:paraId="447AC67D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b/>
          <w:bCs/>
          <w:color w:val="000000"/>
          <w:sz w:val="22"/>
          <w:szCs w:val="22"/>
          <w:lang w:val="ru-RU"/>
        </w:rPr>
        <w:t>Глобальный приоритет «Африка»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:</w:t>
      </w:r>
      <w:r w:rsidRPr="004024C3">
        <w:rPr>
          <w:rFonts w:asciiTheme="minorBidi" w:hAnsiTheme="minorBidi" w:cstheme="minorBidi"/>
          <w:b/>
          <w:bCs/>
          <w:color w:val="000000"/>
          <w:sz w:val="22"/>
          <w:szCs w:val="22"/>
          <w:lang w:val="ru-RU"/>
        </w:rPr>
        <w:t xml:space="preserve"> 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Африка является всеобъемлющим приоритетом для ЮНЕСКО, а МОК обеспечит его учет во всех своих программах и отражение в показателях эффективности. В Комплексной</w:t>
      </w:r>
      <w:r w:rsidRPr="004024C3">
        <w:rPr>
          <w:rFonts w:asciiTheme="minorBidi" w:hAnsiTheme="minorBidi" w:cstheme="minorBidi"/>
          <w:i/>
          <w:iCs/>
          <w:color w:val="000000"/>
          <w:sz w:val="22"/>
          <w:szCs w:val="22"/>
          <w:lang w:val="ru-RU"/>
        </w:rPr>
        <w:t xml:space="preserve"> Морской стратегии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 </w:t>
      </w:r>
      <w:r w:rsidRPr="004024C3">
        <w:rPr>
          <w:rFonts w:asciiTheme="minorBidi" w:hAnsiTheme="minorBidi" w:cstheme="minorBidi"/>
          <w:i/>
          <w:iCs/>
          <w:color w:val="000000"/>
          <w:sz w:val="22"/>
          <w:szCs w:val="22"/>
          <w:lang w:val="ru-RU"/>
        </w:rPr>
        <w:t>Африки до 2050</w:t>
      </w:r>
      <w:r w:rsidR="00AC0502">
        <w:rPr>
          <w:rFonts w:asciiTheme="minorBidi" w:hAnsiTheme="minorBidi" w:cstheme="minorBidi"/>
          <w:i/>
          <w:iCs/>
          <w:color w:val="000000"/>
          <w:sz w:val="22"/>
          <w:szCs w:val="22"/>
          <w:lang w:val="ru-RU"/>
        </w:rPr>
        <w:t> </w:t>
      </w:r>
      <w:r w:rsidRPr="004024C3">
        <w:rPr>
          <w:rFonts w:asciiTheme="minorBidi" w:hAnsiTheme="minorBidi" w:cstheme="minorBidi"/>
          <w:i/>
          <w:iCs/>
          <w:color w:val="000000"/>
          <w:sz w:val="22"/>
          <w:szCs w:val="22"/>
          <w:lang w:val="ru-RU"/>
        </w:rPr>
        <w:t xml:space="preserve">года 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(КМСА) особо признается роль МОК/ЮНЕСКО в содействии научным исследованиям и развитию потенциала (РП), а также в передаче морской технологии (ПМТ). МОК обеспечит научную базу для развития устойчивой экономики океана в Африке, как это предусмотрено в Повестке дня Африканского союза на период до 2063 г. </w:t>
      </w:r>
      <w:r w:rsidRPr="004024C3">
        <w:rPr>
          <w:rFonts w:asciiTheme="minorBidi" w:hAnsiTheme="minorBidi" w:cstheme="minorBidi"/>
          <w:i/>
          <w:iCs/>
          <w:color w:val="000000"/>
          <w:sz w:val="22"/>
          <w:szCs w:val="22"/>
          <w:lang w:val="ru-RU"/>
        </w:rPr>
        <w:t>(«Африка, которую мы хотим: общие стратегические рамки для инклюзивного роста и устойчивого развития»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) и КМСА.</w:t>
      </w:r>
    </w:p>
    <w:p w14:paraId="351D795C" w14:textId="77777777" w:rsidR="004024C3" w:rsidRPr="004024C3" w:rsidRDefault="00CC02B8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Bidi" w:hAnsiTheme="minorBidi" w:cstheme="minorBidi"/>
            <w:sz w:val="22"/>
            <w:szCs w:val="22"/>
          </w:rPr>
          <w:tag w:val="goog_rdk_11"/>
          <w:id w:val="748241630"/>
        </w:sdtPr>
        <w:sdtEndPr/>
        <w:sdtContent/>
      </w:sdt>
      <w:r w:rsidR="004024C3" w:rsidRPr="004024C3">
        <w:rPr>
          <w:rFonts w:asciiTheme="minorBidi" w:hAnsiTheme="minorBidi" w:cstheme="minorBidi"/>
          <w:b/>
          <w:bCs/>
          <w:color w:val="000000"/>
          <w:sz w:val="22"/>
          <w:szCs w:val="22"/>
          <w:lang w:val="ru-RU"/>
        </w:rPr>
        <w:t>Глобальный приоритет «Гендерное равенство»</w:t>
      </w:r>
      <w:r w:rsidR="004024C3"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: Вклад МОК в Глобальный приоритет «Гендерное равенство» будет сосредоточен на том, чтобы международное научное сотрудничество в интересах мира и устойчивости способствовало равному представительству и праву голоса женщин и мужчин и чтобы были созданы условия, позволяющие как женщинам, так и мужчинам способствовать популяризации мер по смягчению последствий, адаптации, повышению стойкости и устойчивости. </w:t>
      </w:r>
      <w:r w:rsidR="004024C3" w:rsidRPr="004024C3">
        <w:rPr>
          <w:rFonts w:asciiTheme="minorBidi" w:hAnsiTheme="minorBidi" w:cstheme="minorBidi"/>
          <w:i/>
          <w:iCs/>
          <w:color w:val="000000"/>
          <w:sz w:val="22"/>
          <w:szCs w:val="22"/>
          <w:lang w:val="ru-RU"/>
        </w:rPr>
        <w:t>Глобальный доклад</w:t>
      </w:r>
      <w:r w:rsidR="004024C3"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 МОК</w:t>
      </w:r>
      <w:r w:rsidR="004024C3" w:rsidRPr="004024C3">
        <w:rPr>
          <w:rFonts w:asciiTheme="minorBidi" w:hAnsiTheme="minorBidi" w:cstheme="minorBidi"/>
          <w:i/>
          <w:iCs/>
          <w:color w:val="000000"/>
          <w:sz w:val="22"/>
          <w:szCs w:val="22"/>
          <w:lang w:val="ru-RU"/>
        </w:rPr>
        <w:t xml:space="preserve"> о состоянии океанографии</w:t>
      </w:r>
      <w:r w:rsidR="004024C3"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 будет и далее отслеживать прогресс и помогать государствам-членам в достижении паритета мужчин и женщин в сообществе специалистов в области морских наук.</w:t>
      </w:r>
    </w:p>
    <w:p w14:paraId="46C590FE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b/>
          <w:bCs/>
          <w:color w:val="000000"/>
          <w:sz w:val="22"/>
          <w:szCs w:val="22"/>
          <w:lang w:val="ru-RU"/>
        </w:rPr>
        <w:t>Малые островные развивающиеся государства (МОСРГ)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: Программа действий по ускоренному развитию МОСРГ («Путь САМОА») 2014 года имеет непосредственное отношение к океану и привлекает повышенное внимание международного сообщества к экстремальным погодным явлениям, повышению уровня моря, эрозии прибрежных районов и закислению океана. Путь призывает к усилению поддержки в 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lastRenderedPageBreak/>
        <w:t>области технологий, финансирования и развития потенциала для адаптации к изменению климата, включая необходимость оказания помощи в базовом мониторинге окружающей среды островов. МОК продолжит оказывать помощь в разработке широкого спектра мероприятий МОСРГ, в том числе связанных с системами раннего предупреждения о цунами и укреплением устойчивости прибрежных сообществ с помощью программы «К цунами готов», развитием морского научно-технического потенциала МОСРГ и наращиванием сотрудничества в сфере управления всеми аспектами здоровья океана, включая воздействие закисления океана.</w:t>
      </w:r>
    </w:p>
    <w:p w14:paraId="2458408F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b/>
          <w:bCs/>
          <w:color w:val="000000"/>
          <w:sz w:val="22"/>
          <w:szCs w:val="22"/>
          <w:lang w:val="ru-RU"/>
        </w:rPr>
        <w:t>Начинающие специалисты-мореведы</w:t>
      </w:r>
      <w:r w:rsidRPr="00AC0502">
        <w:rPr>
          <w:rFonts w:asciiTheme="minorBidi" w:hAnsiTheme="minorBidi" w:cstheme="minorBidi"/>
          <w:color w:val="000000"/>
          <w:sz w:val="22"/>
          <w:szCs w:val="22"/>
          <w:lang w:val="ru-RU"/>
        </w:rPr>
        <w:t>: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 Устойчивость океана и наука об океане требуют кадровых ресурсов, в равной мере представленных различными поколениями. МОК будет активно привлекать талантливых и энергичных начинающих специалистов-мореведов и стремиться предоставлять им возможности для профессионального развития. Для этого будут создаваться сети начинающих специалистов, которые будут привлекаться к решению проблем океана с соблюдением равноправия и гендерного баланса.</w:t>
      </w:r>
    </w:p>
    <w:p w14:paraId="68B17115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b/>
          <w:bCs/>
          <w:color w:val="000000"/>
          <w:sz w:val="22"/>
          <w:szCs w:val="22"/>
          <w:lang w:val="ru-RU"/>
        </w:rPr>
        <w:t>Более глубокое понимание ценности работы МОК, включая ее социально-экономическую пользу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: Работа МОК касается всех аспектов отношений человека с океаном: экономики, стратегии и политики, а также социальных, культурных, духовных и эмоциональных связей. Комиссия будет продолжать приносить обществу многочисленную материальную и нематериальную пользу. Прежде всего, работа МОК будет по-прежнему непосредственно спасать жизни людей, например, с помощью предупреждения о цунами. Международное сотрудничество в области наук об океане и океанических услуг является важным фактором поддержки многостороннего подхода и поддержания мира во всем мире. МОК будет также вносить свой вклад в информирование о международных политических решениях, определяющих будущее нашей цивилизации, например, в рамках дискуссии об изменении климата. Знания о морской среде позволяют развивать экономику океана, которая ежегодно приносит финансовую прибыль, измеряемую триллионами долларов США. Поэтому будет целесообразно увязать пользу работы МОК со </w:t>
      </w:r>
      <w:r w:rsidRPr="004024C3">
        <w:rPr>
          <w:rFonts w:asciiTheme="minorBidi" w:hAnsiTheme="minorBidi" w:cstheme="minorBidi"/>
          <w:sz w:val="22"/>
          <w:szCs w:val="22"/>
          <w:lang w:val="ru-RU"/>
        </w:rPr>
        <w:t xml:space="preserve">счетами национальной экономики. Благодаря оценке рисков, связанных с океаном и климатом, можно будет продемонстрировать ценность инвестиций в основанные на природе решения по адаптации к климату и включить соображения, касающиеся океана, в планы устойчивого экономического развития. 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Это даст новые возможности для бизнеса и перспективы роста благосостояния и безопасности людей. Для понимания и демонстрации истинной ценности работы МОК может регулярно использоваться </w:t>
      </w:r>
      <w:r w:rsidRPr="004024C3">
        <w:rPr>
          <w:rFonts w:asciiTheme="minorBidi" w:hAnsiTheme="minorBidi" w:cstheme="minorBidi"/>
          <w:sz w:val="22"/>
          <w:szCs w:val="22"/>
          <w:lang w:val="ru-RU"/>
        </w:rPr>
        <w:t>оценка материальной ценности океанических экосистем и поставляемых ими товаров и услуг.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 В будущем роль МОК будет только возрастать, поскольку поддержание существенно важных функций жизнеобеспечения океана становится все более и более наукоемким делом. </w:t>
      </w:r>
      <w:sdt>
        <w:sdtPr>
          <w:rPr>
            <w:rFonts w:asciiTheme="minorBidi" w:hAnsiTheme="minorBidi" w:cstheme="minorBidi"/>
            <w:sz w:val="22"/>
            <w:szCs w:val="22"/>
          </w:rPr>
          <w:tag w:val="goog_rdk_19"/>
          <w:id w:val="-515299194"/>
        </w:sdtPr>
        <w:sdtEndPr/>
        <w:sdtContent/>
      </w:sdt>
      <w:r w:rsidRPr="004024C3">
        <w:rPr>
          <w:rFonts w:asciiTheme="minorBidi" w:hAnsiTheme="minorBidi" w:cstheme="minorBidi"/>
          <w:sz w:val="22"/>
          <w:szCs w:val="22"/>
          <w:lang w:val="ru-RU"/>
        </w:rPr>
        <w:t xml:space="preserve">Таким образом, для полной реализации нынешнего и будущего потенциала МОК и получения максимальной 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пользы от деятельности МОК в широком ряде социально-экономических областей, </w:t>
      </w:r>
      <w:r w:rsidRPr="004024C3">
        <w:rPr>
          <w:rFonts w:asciiTheme="minorBidi" w:hAnsiTheme="minorBidi" w:cstheme="minorBidi"/>
          <w:sz w:val="22"/>
          <w:szCs w:val="22"/>
          <w:lang w:val="ru-RU"/>
        </w:rPr>
        <w:t xml:space="preserve">МОК придется еще больше укрепить свое сотрудничество и партнерство 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со многими заинтересованными сторонами и партнерами в рамках системы ООН и за ее пределами</w:t>
      </w:r>
      <w:r w:rsidRPr="004024C3">
        <w:rPr>
          <w:rFonts w:asciiTheme="minorBidi" w:hAnsiTheme="minorBidi" w:cstheme="minorBidi"/>
          <w:sz w:val="22"/>
          <w:szCs w:val="22"/>
          <w:lang w:val="ru-RU"/>
        </w:rPr>
        <w:t>.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 </w:t>
      </w:r>
    </w:p>
    <w:p w14:paraId="7A4C293D" w14:textId="77777777" w:rsidR="004024C3" w:rsidRPr="009D760D" w:rsidRDefault="004024C3" w:rsidP="004024C3">
      <w:pPr>
        <w:keepNext/>
        <w:spacing w:after="240"/>
        <w:rPr>
          <w:rFonts w:asciiTheme="minorBidi" w:hAnsiTheme="minorBidi" w:cstheme="minorBidi"/>
          <w:b/>
          <w:color w:val="0070C0"/>
          <w:sz w:val="22"/>
          <w:szCs w:val="22"/>
          <w:lang w:val="ru-RU"/>
        </w:rPr>
      </w:pPr>
      <w:r w:rsidRPr="009D760D">
        <w:rPr>
          <w:rFonts w:asciiTheme="minorBidi" w:hAnsiTheme="minorBidi" w:cstheme="minorBidi"/>
          <w:b/>
          <w:bCs/>
          <w:color w:val="0070C0"/>
          <w:sz w:val="22"/>
          <w:szCs w:val="22"/>
          <w:lang w:val="ru-RU"/>
        </w:rPr>
        <w:t>ДЕСЯТИЛЕТИЕ ООН, ПОСВЯЩЕННОЕ НАУКЕ ОБ ОКЕАНЕ В ИНТЕРЕСАХ УСТОЙЧИВОГО РАЗВИТИЯ (2021</w:t>
      </w:r>
      <w:r w:rsidR="00AC0502" w:rsidRPr="009D760D">
        <w:rPr>
          <w:rFonts w:asciiTheme="minorBidi" w:hAnsiTheme="minorBidi" w:cstheme="minorBidi"/>
          <w:b/>
          <w:bCs/>
          <w:color w:val="0070C0"/>
          <w:sz w:val="22"/>
          <w:szCs w:val="22"/>
          <w:lang w:val="ru-RU"/>
        </w:rPr>
        <w:t>-</w:t>
      </w:r>
      <w:r w:rsidRPr="009D760D">
        <w:rPr>
          <w:rFonts w:asciiTheme="minorBidi" w:hAnsiTheme="minorBidi" w:cstheme="minorBidi"/>
          <w:b/>
          <w:bCs/>
          <w:color w:val="0070C0"/>
          <w:sz w:val="22"/>
          <w:szCs w:val="22"/>
          <w:lang w:val="ru-RU"/>
        </w:rPr>
        <w:t>2030 ГГ.)</w:t>
      </w:r>
    </w:p>
    <w:p w14:paraId="56D6F79A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120"/>
        <w:ind w:left="0" w:firstLine="0"/>
        <w:jc w:val="both"/>
        <w:textAlignment w:val="baseline"/>
        <w:rPr>
          <w:rFonts w:asciiTheme="minorBidi" w:hAnsiTheme="minorBidi" w:cstheme="minorBidi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Десятилетие ООН, посвященное науке об океане в интересах устойчивого развития («Десятилетие»), продлится с 2021 по 2030 год. Цель этой уникальной долгосрочной кампании высокого уровня заключается в том, чтобы вывести науку об океане на новый уровень или уровень готовности, который необходим для принятия обоснованных решений и стимулирования эффективных действий и политики в области устойчивого использования и охраны океана. </w:t>
      </w:r>
    </w:p>
    <w:p w14:paraId="0FE5C543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120"/>
        <w:ind w:left="0" w:firstLine="0"/>
        <w:jc w:val="both"/>
        <w:textAlignment w:val="baseline"/>
        <w:rPr>
          <w:rFonts w:asciiTheme="minorBidi" w:hAnsiTheme="minorBidi" w:cstheme="minorBidi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lastRenderedPageBreak/>
        <w:t>Десятилетие предоставляет уникальную возможность отметить преимущества МОК и ее программ для общества в целом. В 2022</w:t>
      </w:r>
      <w:r w:rsidR="00CE6146">
        <w:rPr>
          <w:rFonts w:asciiTheme="minorBidi" w:hAnsiTheme="minorBidi" w:cstheme="minorBidi"/>
          <w:color w:val="000000"/>
          <w:sz w:val="22"/>
          <w:szCs w:val="22"/>
          <w:lang w:val="ru-RU"/>
        </w:rPr>
        <w:t>-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2029 гг. одной из основных обязанностей МОК будет поддержка и содействие проведению Десятилетия, а также регулярное информирование Генерального секретаря ООН и Генеральной Ассамблеи о достигнутом прогрессе.</w:t>
      </w:r>
    </w:p>
    <w:p w14:paraId="7CCD478B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120"/>
        <w:ind w:left="0" w:firstLine="0"/>
        <w:jc w:val="both"/>
        <w:textAlignment w:val="baseline"/>
        <w:rPr>
          <w:rFonts w:asciiTheme="minorBidi" w:hAnsiTheme="minorBidi" w:cstheme="minorBidi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Десятилетие будет руководствоваться видением «Океана, который нам нужен, в интересах будущего, которого мы хотим», а именно: </w:t>
      </w:r>
    </w:p>
    <w:p w14:paraId="6A3EA624" w14:textId="77777777" w:rsidR="004024C3" w:rsidRPr="004024C3" w:rsidRDefault="004024C3" w:rsidP="00CE6146">
      <w:pPr>
        <w:numPr>
          <w:ilvl w:val="0"/>
          <w:numId w:val="21"/>
        </w:numPr>
        <w:spacing w:after="120"/>
        <w:ind w:left="1276" w:hanging="567"/>
        <w:jc w:val="both"/>
        <w:textAlignment w:val="baseline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b/>
          <w:bCs/>
          <w:sz w:val="22"/>
          <w:szCs w:val="22"/>
          <w:lang w:val="ru-RU"/>
        </w:rPr>
        <w:t>чистый океан</w:t>
      </w:r>
      <w:r w:rsidRPr="004024C3">
        <w:rPr>
          <w:rFonts w:asciiTheme="minorBidi" w:hAnsiTheme="minorBidi" w:cstheme="minorBidi"/>
          <w:sz w:val="22"/>
          <w:szCs w:val="22"/>
          <w:lang w:val="ru-RU"/>
        </w:rPr>
        <w:t xml:space="preserve">, в котором источники загрязнения выявляются, сокращаются или устраняются; </w:t>
      </w:r>
    </w:p>
    <w:p w14:paraId="00789CA8" w14:textId="77777777" w:rsidR="004024C3" w:rsidRPr="004024C3" w:rsidRDefault="004024C3" w:rsidP="00CE6146">
      <w:pPr>
        <w:numPr>
          <w:ilvl w:val="0"/>
          <w:numId w:val="21"/>
        </w:numPr>
        <w:spacing w:after="120"/>
        <w:ind w:left="1276" w:hanging="567"/>
        <w:jc w:val="both"/>
        <w:textAlignment w:val="baseline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здоровый </w:t>
      </w:r>
      <w:r w:rsidRPr="004024C3">
        <w:rPr>
          <w:rFonts w:asciiTheme="minorBidi" w:hAnsiTheme="minorBidi" w:cstheme="minorBidi"/>
          <w:sz w:val="22"/>
          <w:szCs w:val="22"/>
          <w:lang w:val="ru-RU"/>
        </w:rPr>
        <w:t xml:space="preserve">и </w:t>
      </w:r>
      <w:r w:rsidRPr="004024C3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жизнеспособный </w:t>
      </w:r>
      <w:r w:rsidRPr="004024C3">
        <w:rPr>
          <w:rFonts w:asciiTheme="minorBidi" w:hAnsiTheme="minorBidi" w:cstheme="minorBidi"/>
          <w:sz w:val="22"/>
          <w:szCs w:val="22"/>
          <w:lang w:val="ru-RU"/>
        </w:rPr>
        <w:t>океан, в котором морские экосистемы понятны и управляемы</w:t>
      </w:r>
      <w:r w:rsidRPr="004024C3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; </w:t>
      </w:r>
    </w:p>
    <w:p w14:paraId="2E1E89E3" w14:textId="77777777" w:rsidR="004024C3" w:rsidRPr="004024C3" w:rsidRDefault="004024C3" w:rsidP="00CE6146">
      <w:pPr>
        <w:numPr>
          <w:ilvl w:val="0"/>
          <w:numId w:val="21"/>
        </w:numPr>
        <w:spacing w:after="120"/>
        <w:ind w:left="1276" w:hanging="567"/>
        <w:jc w:val="both"/>
        <w:textAlignment w:val="baseline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b/>
          <w:bCs/>
          <w:sz w:val="22"/>
          <w:szCs w:val="22"/>
          <w:lang w:val="ru-RU"/>
        </w:rPr>
        <w:t>эффективный океан</w:t>
      </w:r>
      <w:r w:rsidRPr="004024C3">
        <w:rPr>
          <w:rFonts w:asciiTheme="minorBidi" w:hAnsiTheme="minorBidi" w:cstheme="minorBidi"/>
          <w:sz w:val="22"/>
          <w:szCs w:val="22"/>
          <w:lang w:val="ru-RU"/>
        </w:rPr>
        <w:t>, поддерживающий устойчивое снабжение продовольствием и устойчивую экономику океана;</w:t>
      </w:r>
      <w:r w:rsidRPr="004024C3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</w:t>
      </w:r>
    </w:p>
    <w:p w14:paraId="649C8D6D" w14:textId="77777777" w:rsidR="004024C3" w:rsidRPr="004024C3" w:rsidRDefault="004024C3" w:rsidP="00CE6146">
      <w:pPr>
        <w:numPr>
          <w:ilvl w:val="0"/>
          <w:numId w:val="21"/>
        </w:numPr>
        <w:spacing w:after="120"/>
        <w:ind w:left="1276" w:hanging="567"/>
        <w:jc w:val="both"/>
        <w:textAlignment w:val="baseline"/>
        <w:rPr>
          <w:rFonts w:asciiTheme="minorBidi" w:hAnsiTheme="minorBidi" w:cstheme="minorBidi"/>
          <w:b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b/>
          <w:bCs/>
          <w:sz w:val="22"/>
          <w:szCs w:val="22"/>
          <w:lang w:val="ru-RU"/>
        </w:rPr>
        <w:t>прогнозируемый океан</w:t>
      </w:r>
      <w:r w:rsidRPr="004024C3">
        <w:rPr>
          <w:rFonts w:asciiTheme="minorBidi" w:hAnsiTheme="minorBidi" w:cstheme="minorBidi"/>
          <w:sz w:val="22"/>
          <w:szCs w:val="22"/>
          <w:lang w:val="ru-RU"/>
        </w:rPr>
        <w:t xml:space="preserve"> в мире, где общество понимает и может реагировать на изменение условий океана; </w:t>
      </w:r>
    </w:p>
    <w:p w14:paraId="64EA6A45" w14:textId="77777777" w:rsidR="004024C3" w:rsidRPr="004024C3" w:rsidRDefault="004024C3" w:rsidP="00CE6146">
      <w:pPr>
        <w:numPr>
          <w:ilvl w:val="0"/>
          <w:numId w:val="21"/>
        </w:numPr>
        <w:spacing w:after="120"/>
        <w:ind w:left="1276" w:hanging="567"/>
        <w:jc w:val="both"/>
        <w:textAlignment w:val="baseline"/>
        <w:rPr>
          <w:rFonts w:asciiTheme="minorBidi" w:hAnsiTheme="minorBidi" w:cstheme="minorBidi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b/>
          <w:bCs/>
          <w:sz w:val="22"/>
          <w:szCs w:val="22"/>
          <w:lang w:val="ru-RU"/>
        </w:rPr>
        <w:t>безопасный океан</w:t>
      </w:r>
      <w:r w:rsidRPr="004024C3">
        <w:rPr>
          <w:rFonts w:asciiTheme="minorBidi" w:hAnsiTheme="minorBidi" w:cstheme="minorBidi"/>
          <w:sz w:val="22"/>
          <w:szCs w:val="22"/>
          <w:lang w:val="ru-RU"/>
        </w:rPr>
        <w:t>, в котором жизнь и средства к существованию защищены от опасных явлений, связанных с океаном;</w:t>
      </w:r>
    </w:p>
    <w:p w14:paraId="0FFBCF28" w14:textId="77777777" w:rsidR="004024C3" w:rsidRPr="004024C3" w:rsidRDefault="004024C3" w:rsidP="00CE6146">
      <w:pPr>
        <w:numPr>
          <w:ilvl w:val="0"/>
          <w:numId w:val="21"/>
        </w:numPr>
        <w:spacing w:after="120"/>
        <w:ind w:left="1276" w:hanging="567"/>
        <w:jc w:val="both"/>
        <w:textAlignment w:val="baseline"/>
        <w:rPr>
          <w:rFonts w:asciiTheme="minorBidi" w:hAnsiTheme="minorBidi" w:cstheme="minorBidi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доступный океан </w:t>
      </w:r>
      <w:r w:rsidRPr="004024C3">
        <w:rPr>
          <w:rFonts w:asciiTheme="minorBidi" w:hAnsiTheme="minorBidi" w:cstheme="minorBidi"/>
          <w:sz w:val="22"/>
          <w:szCs w:val="22"/>
          <w:lang w:val="ru-RU"/>
        </w:rPr>
        <w:t>с открытым и справедливым доступом к данным, информации, технологиям и инновациям;</w:t>
      </w:r>
    </w:p>
    <w:p w14:paraId="4A46EF32" w14:textId="77777777" w:rsidR="004024C3" w:rsidRPr="004024C3" w:rsidRDefault="004024C3" w:rsidP="00CE6146">
      <w:pPr>
        <w:numPr>
          <w:ilvl w:val="0"/>
          <w:numId w:val="21"/>
        </w:numPr>
        <w:spacing w:after="240"/>
        <w:ind w:left="1276" w:hanging="567"/>
        <w:jc w:val="both"/>
        <w:textAlignment w:val="baseline"/>
        <w:rPr>
          <w:rFonts w:asciiTheme="minorBidi" w:hAnsiTheme="minorBidi" w:cstheme="minorBidi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вдохновляющий </w:t>
      </w:r>
      <w:r w:rsidRPr="004024C3">
        <w:rPr>
          <w:rFonts w:asciiTheme="minorBidi" w:hAnsiTheme="minorBidi" w:cstheme="minorBidi"/>
          <w:sz w:val="22"/>
          <w:szCs w:val="22"/>
          <w:lang w:val="ru-RU"/>
        </w:rPr>
        <w:t xml:space="preserve">и </w:t>
      </w:r>
      <w:r w:rsidRPr="004024C3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увлекательный океан </w:t>
      </w:r>
      <w:r w:rsidRPr="004024C3">
        <w:rPr>
          <w:rFonts w:asciiTheme="minorBidi" w:hAnsiTheme="minorBidi" w:cstheme="minorBidi"/>
          <w:sz w:val="22"/>
          <w:szCs w:val="22"/>
          <w:lang w:val="ru-RU"/>
        </w:rPr>
        <w:t>в мире, где общество понимает и ценит океан в связи с благополучием человека и устойчивым развитием.</w:t>
      </w:r>
    </w:p>
    <w:p w14:paraId="1E533DD0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Основная трансформация, которая должна быть достигнута в ходе Десятилетия, заключается в том, чтобы сделать науку способной не только диагностировать существующие или возникающие проблемы, но и предлагать эффективные решения, мотивировать общество и повышать его готовность к их реализации. Поэтому целью Десятилетия будет создание научного потенциала, привлечение ученых, содействие созданию благоприятной среды для вовлечения практических специалистов, лиц, принимающих решения, и частного сектора в разработку и использование научно обоснованных решений для начала устойчивого управления океаном.   </w:t>
      </w:r>
    </w:p>
    <w:p w14:paraId="7A771692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Десятилетие также станет для МОК мощным стимулом для внесения вклада в реализацию коллективно согласованных глобальных и региональных приоритетов. Успешное проведение Десятилетия будет зависеть от подлинной ответственности многих партнеров и заинтересованных сторон, которые будут использовать рамки Десятилетия и создаваемые им возможности для выполнения своих собственных задач в области устойчивого развития.</w:t>
      </w:r>
    </w:p>
    <w:p w14:paraId="45A9E037" w14:textId="77777777" w:rsidR="004024C3" w:rsidRPr="004024C3" w:rsidRDefault="004024C3" w:rsidP="004024C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59" w:lineRule="auto"/>
        <w:rPr>
          <w:rFonts w:asciiTheme="minorBidi" w:hAnsiTheme="minorBidi" w:cstheme="minorBidi"/>
          <w:b/>
          <w:color w:val="000000"/>
          <w:sz w:val="22"/>
          <w:szCs w:val="22"/>
        </w:rPr>
      </w:pPr>
      <w:r w:rsidRPr="004024C3">
        <w:rPr>
          <w:rFonts w:asciiTheme="minorBidi" w:hAnsiTheme="minorBidi" w:cstheme="minorBidi"/>
          <w:b/>
          <w:bCs/>
          <w:color w:val="000000"/>
          <w:sz w:val="22"/>
          <w:szCs w:val="22"/>
        </w:rPr>
        <w:t>РЕАЛИЗАЦИЯ СТРАТЕГИИ</w:t>
      </w:r>
    </w:p>
    <w:p w14:paraId="210B7D84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120"/>
        <w:ind w:left="0" w:firstLine="0"/>
        <w:jc w:val="both"/>
        <w:textAlignment w:val="baseline"/>
        <w:rPr>
          <w:rFonts w:asciiTheme="minorBidi" w:hAnsiTheme="minorBidi" w:cstheme="minorBidi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Во время работы над достижением целей высокого уровня МОК сосредоточится на таких широких областях, как:</w:t>
      </w:r>
    </w:p>
    <w:p w14:paraId="50DAFB22" w14:textId="77777777" w:rsidR="004024C3" w:rsidRPr="004024C3" w:rsidRDefault="004024C3" w:rsidP="004024C3">
      <w:pPr>
        <w:numPr>
          <w:ilvl w:val="0"/>
          <w:numId w:val="21"/>
        </w:numPr>
        <w:spacing w:after="120"/>
        <w:ind w:left="1134" w:hanging="425"/>
        <w:textAlignment w:val="baseline"/>
        <w:rPr>
          <w:rFonts w:asciiTheme="minorBidi" w:hAnsiTheme="minorBidi" w:cstheme="minorBidi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sz w:val="22"/>
          <w:szCs w:val="22"/>
          <w:lang w:val="ru-RU"/>
        </w:rPr>
        <w:t>упрочнение научных знаний об океане и воздействии на него человека;</w:t>
      </w:r>
    </w:p>
    <w:p w14:paraId="7BE11A72" w14:textId="77777777" w:rsidR="004024C3" w:rsidRPr="004024C3" w:rsidRDefault="004024C3" w:rsidP="004024C3">
      <w:pPr>
        <w:numPr>
          <w:ilvl w:val="0"/>
          <w:numId w:val="21"/>
        </w:numPr>
        <w:spacing w:after="120"/>
        <w:ind w:left="1134" w:hanging="425"/>
        <w:textAlignment w:val="baseline"/>
        <w:rPr>
          <w:rFonts w:asciiTheme="minorBidi" w:hAnsiTheme="minorBidi" w:cstheme="minorBidi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sz w:val="22"/>
          <w:szCs w:val="22"/>
          <w:lang w:val="ru-RU"/>
        </w:rPr>
        <w:t>применение этих знаний на благо общества;</w:t>
      </w:r>
    </w:p>
    <w:p w14:paraId="05C0721E" w14:textId="77777777" w:rsidR="004024C3" w:rsidRPr="004024C3" w:rsidRDefault="004024C3" w:rsidP="004024C3">
      <w:pPr>
        <w:numPr>
          <w:ilvl w:val="0"/>
          <w:numId w:val="21"/>
        </w:numPr>
        <w:spacing w:after="240"/>
        <w:ind w:left="1134" w:hanging="425"/>
        <w:textAlignment w:val="baseline"/>
        <w:rPr>
          <w:rFonts w:asciiTheme="minorBidi" w:hAnsiTheme="minorBidi" w:cstheme="minorBidi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sz w:val="22"/>
          <w:szCs w:val="22"/>
          <w:lang w:val="ru-RU"/>
        </w:rPr>
        <w:t>создание институционального, человеческого и технического потенциала для рационального управления и руководства океаном и деятельностью человека.</w:t>
      </w:r>
    </w:p>
    <w:p w14:paraId="42E68F30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120"/>
        <w:ind w:left="0" w:firstLine="0"/>
        <w:jc w:val="both"/>
        <w:textAlignment w:val="baseline"/>
        <w:rPr>
          <w:rFonts w:asciiTheme="minorBidi" w:hAnsiTheme="minorBidi" w:cstheme="minorBidi"/>
          <w:sz w:val="22"/>
          <w:szCs w:val="22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Эта стратегия представляет собой структуру из шести </w:t>
      </w:r>
      <w:r w:rsidRPr="004024C3">
        <w:rPr>
          <w:rFonts w:asciiTheme="minorBidi" w:hAnsiTheme="minorBidi" w:cstheme="minorBidi"/>
          <w:i/>
          <w:iCs/>
          <w:color w:val="000000"/>
          <w:sz w:val="22"/>
          <w:szCs w:val="22"/>
          <w:lang w:val="ru-RU"/>
        </w:rPr>
        <w:t>функций —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 отдельных типов относительно однородных наборов процессов, действий или задач, которые 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lastRenderedPageBreak/>
        <w:t xml:space="preserve">помогают Комиссии выполнять свое предназначение и достигать целей высокого уровня. </w:t>
      </w:r>
      <w:r w:rsidRPr="00CE6146">
        <w:rPr>
          <w:rFonts w:asciiTheme="minorBidi" w:hAnsiTheme="minorBidi" w:cstheme="minorBidi"/>
          <w:color w:val="000000"/>
          <w:sz w:val="22"/>
          <w:szCs w:val="22"/>
          <w:lang w:val="ru-RU"/>
        </w:rPr>
        <w:t>Функции МОК заключаются в следующем</w:t>
      </w:r>
      <w:r w:rsidRPr="004024C3">
        <w:rPr>
          <w:rFonts w:asciiTheme="minorBidi" w:hAnsiTheme="minorBidi" w:cstheme="minorBidi"/>
          <w:color w:val="000000"/>
          <w:sz w:val="22"/>
          <w:szCs w:val="22"/>
        </w:rPr>
        <w:t>:</w:t>
      </w:r>
    </w:p>
    <w:p w14:paraId="220FF74F" w14:textId="77777777" w:rsidR="004024C3" w:rsidRPr="004024C3" w:rsidRDefault="004024C3" w:rsidP="004024C3">
      <w:pPr>
        <w:numPr>
          <w:ilvl w:val="0"/>
          <w:numId w:val="16"/>
        </w:numPr>
        <w:spacing w:after="120"/>
        <w:ind w:left="1418" w:hanging="704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содействие океаническим исследованиям для расширения знаний об океанических и прибрежных процессах и воздействии на них человека </w:t>
      </w:r>
      <w:r w:rsidRPr="004024C3">
        <w:rPr>
          <w:rFonts w:asciiTheme="minorBidi" w:hAnsiTheme="minorBidi" w:cstheme="minorBidi"/>
          <w:i/>
          <w:iCs/>
          <w:color w:val="000000"/>
          <w:sz w:val="22"/>
          <w:szCs w:val="22"/>
          <w:lang w:val="ru-RU"/>
        </w:rPr>
        <w:t>[океанические исследования];</w:t>
      </w:r>
    </w:p>
    <w:p w14:paraId="598F677E" w14:textId="77777777" w:rsidR="004024C3" w:rsidRPr="004024C3" w:rsidRDefault="004024C3" w:rsidP="004024C3">
      <w:pPr>
        <w:numPr>
          <w:ilvl w:val="0"/>
          <w:numId w:val="16"/>
        </w:numPr>
        <w:spacing w:after="120"/>
        <w:ind w:left="1418" w:hanging="704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поддержка, укрепление и интеграция глобальных систем наблюдения за океаном, систем данных и прогнозирования и информационных систем </w:t>
      </w:r>
      <w:r w:rsidRPr="004024C3">
        <w:rPr>
          <w:rFonts w:asciiTheme="minorBidi" w:hAnsiTheme="minorBidi" w:cstheme="minorBidi"/>
          <w:i/>
          <w:iCs/>
          <w:color w:val="000000"/>
          <w:sz w:val="22"/>
          <w:szCs w:val="22"/>
          <w:lang w:val="ru-RU"/>
        </w:rPr>
        <w:t>[система наблюдения/управление данными]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;</w:t>
      </w:r>
    </w:p>
    <w:p w14:paraId="6D8225C9" w14:textId="77777777" w:rsidR="004024C3" w:rsidRPr="004024C3" w:rsidRDefault="004024C3" w:rsidP="004024C3">
      <w:pPr>
        <w:numPr>
          <w:ilvl w:val="0"/>
          <w:numId w:val="16"/>
        </w:numPr>
        <w:spacing w:after="120"/>
        <w:ind w:left="1418" w:hanging="704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развитие систем раннего предупреждения и услуг и готовность к рискам цунами и опасных явлений, связанных с океаном </w:t>
      </w:r>
      <w:r w:rsidRPr="004024C3">
        <w:rPr>
          <w:rFonts w:asciiTheme="minorBidi" w:hAnsiTheme="minorBidi" w:cstheme="minorBidi"/>
          <w:i/>
          <w:iCs/>
          <w:color w:val="000000"/>
          <w:sz w:val="22"/>
          <w:szCs w:val="22"/>
          <w:lang w:val="ru-RU"/>
        </w:rPr>
        <w:t>[раннее предупреждение и услуги]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;</w:t>
      </w:r>
    </w:p>
    <w:p w14:paraId="34F08821" w14:textId="77777777" w:rsidR="004024C3" w:rsidRPr="004024C3" w:rsidRDefault="004024C3" w:rsidP="004024C3">
      <w:pPr>
        <w:numPr>
          <w:ilvl w:val="0"/>
          <w:numId w:val="16"/>
        </w:numPr>
        <w:spacing w:after="120"/>
        <w:ind w:left="1418" w:hanging="704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поддержка оценки и обеспечение информирования для улучшения взаимосвязи науки и политики </w:t>
      </w:r>
      <w:r w:rsidRPr="004024C3">
        <w:rPr>
          <w:rFonts w:asciiTheme="minorBidi" w:hAnsiTheme="minorBidi" w:cstheme="minorBidi"/>
          <w:i/>
          <w:iCs/>
          <w:color w:val="000000"/>
          <w:sz w:val="22"/>
          <w:szCs w:val="22"/>
          <w:lang w:val="ru-RU"/>
        </w:rPr>
        <w:t>[оценка и информирование для политики]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;</w:t>
      </w:r>
    </w:p>
    <w:p w14:paraId="0AA33A6D" w14:textId="77777777" w:rsidR="004024C3" w:rsidRPr="004024C3" w:rsidRDefault="004024C3" w:rsidP="004024C3">
      <w:pPr>
        <w:numPr>
          <w:ilvl w:val="0"/>
          <w:numId w:val="16"/>
        </w:numPr>
        <w:spacing w:after="120"/>
        <w:ind w:left="1418" w:hanging="704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усовершенствование управления океаном посредством совместной базы знаний и улучшения регионального сотрудничества </w:t>
      </w:r>
      <w:r w:rsidRPr="004024C3">
        <w:rPr>
          <w:rFonts w:asciiTheme="minorBidi" w:hAnsiTheme="minorBidi" w:cstheme="minorBidi"/>
          <w:i/>
          <w:iCs/>
          <w:color w:val="000000"/>
          <w:sz w:val="22"/>
          <w:szCs w:val="22"/>
          <w:lang w:val="ru-RU"/>
        </w:rPr>
        <w:t>[устойчивое управление и руководство];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 </w:t>
      </w:r>
    </w:p>
    <w:p w14:paraId="3305124F" w14:textId="77777777" w:rsidR="004024C3" w:rsidRPr="004024C3" w:rsidRDefault="004024C3" w:rsidP="004024C3">
      <w:pPr>
        <w:numPr>
          <w:ilvl w:val="0"/>
          <w:numId w:val="16"/>
        </w:numPr>
        <w:spacing w:after="240"/>
        <w:ind w:left="1418" w:hanging="704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развитие институционального потенциала по всем вышеперечисленным функциям в качестве сквозной функции </w:t>
      </w:r>
      <w:r w:rsidRPr="004024C3">
        <w:rPr>
          <w:rFonts w:asciiTheme="minorBidi" w:hAnsiTheme="minorBidi" w:cstheme="minorBidi"/>
          <w:i/>
          <w:iCs/>
          <w:color w:val="000000"/>
          <w:sz w:val="22"/>
          <w:szCs w:val="22"/>
          <w:lang w:val="ru-RU"/>
        </w:rPr>
        <w:t>[развитие потенциала].</w:t>
      </w:r>
    </w:p>
    <w:p w14:paraId="649C28B4" w14:textId="77777777" w:rsidR="004024C3" w:rsidRPr="004024C3" w:rsidRDefault="004024C3" w:rsidP="004024C3">
      <w:pPr>
        <w:keepNext/>
        <w:spacing w:after="240"/>
        <w:ind w:left="992"/>
        <w:jc w:val="center"/>
        <w:rPr>
          <w:rFonts w:asciiTheme="minorBidi" w:hAnsiTheme="minorBidi" w:cstheme="minorBidi"/>
          <w:color w:val="000000"/>
          <w:sz w:val="22"/>
          <w:szCs w:val="22"/>
        </w:rPr>
      </w:pPr>
      <w:r w:rsidRPr="004024C3">
        <w:rPr>
          <w:rFonts w:asciiTheme="minorBidi" w:hAnsiTheme="minorBidi" w:cstheme="minorBidi"/>
          <w:noProof/>
          <w:color w:val="000000"/>
          <w:sz w:val="22"/>
          <w:szCs w:val="22"/>
          <w:lang w:val="ru-RU" w:eastAsia="ru-RU"/>
        </w:rPr>
        <w:drawing>
          <wp:inline distT="0" distB="0" distL="0" distR="0" wp14:anchorId="769F0452" wp14:editId="4D75AB7C">
            <wp:extent cx="3730911" cy="3706684"/>
            <wp:effectExtent l="0" t="0" r="3175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e6_r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506" cy="374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27095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Эти функции реализуются через существующие программы МОК и совместно финансируемые программы, работу региональных вспомогательных органов МОК и различные механизмы сотрудничества.</w:t>
      </w:r>
    </w:p>
    <w:p w14:paraId="0535F340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b/>
          <w:bCs/>
          <w:color w:val="000000"/>
          <w:sz w:val="22"/>
          <w:szCs w:val="22"/>
          <w:lang w:val="ru-RU"/>
        </w:rPr>
        <w:t>Цепочка создания ценности МОК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:</w:t>
      </w:r>
      <w:r w:rsidRPr="004024C3">
        <w:rPr>
          <w:rFonts w:asciiTheme="minorBidi" w:hAnsiTheme="minorBidi" w:cstheme="minorBidi"/>
          <w:b/>
          <w:bCs/>
          <w:color w:val="000000"/>
          <w:sz w:val="22"/>
          <w:szCs w:val="22"/>
          <w:lang w:val="ru-RU"/>
        </w:rPr>
        <w:t xml:space="preserve"> 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Ценность МОК создается благодаря взаимодействию всех ее функций. Для того чтобы максимально увеличить ценность, МОК должна работать как законченная система, в которой наблюдения и исследования позволяют оказывать различные услуги и проводить оценки для принятия обоснованных решений и руководства политикой, а также для многообразного использования в обществе и экономике. Обратная связь от различных функций в системе должна вести к 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lastRenderedPageBreak/>
        <w:t xml:space="preserve">эволюции и, в целом, к все более и более высоким требованиям к наблюдениям, науке и услугам. Развитие потенциала будет действовать как катализатор всей системы, работая на передовых рубежах и не оставляя никого без внимания. </w:t>
      </w:r>
    </w:p>
    <w:p w14:paraId="01C1A00B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Функции МОК будут реализовываться посредством непрерывно развивающихся программ, действующих на глобальном, региональном, национальном и местном уровнях, посредством деятельности региональных вспомогательных органов, а также путем осуществления более краткосрочных проектных мероприятий. В действительности все программы, группы и проекты выступают в качестве механизмов совместной разработки и координации, в то время как реальная работа на местах проводится в государствах-членах и ими самими. Десятилетие даст возможность включить программы и мероприятия МОК в основное русло деятельности на международном уровне и в государствах-членах. Работа будет направлена на достижение задач высокого уровня МОК, которые описаны ниже. </w:t>
      </w:r>
    </w:p>
    <w:p w14:paraId="7C25658A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12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b/>
          <w:bCs/>
          <w:color w:val="000000"/>
          <w:sz w:val="22"/>
          <w:szCs w:val="22"/>
          <w:lang w:val="ru-RU"/>
        </w:rPr>
        <w:t>Достижение цели 1 (Здоровые экосистемы океана)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:</w:t>
      </w:r>
      <w:r w:rsidRPr="004024C3">
        <w:rPr>
          <w:rFonts w:asciiTheme="minorBidi" w:hAnsiTheme="minorBidi" w:cstheme="minorBidi"/>
          <w:b/>
          <w:bCs/>
          <w:color w:val="000000"/>
          <w:sz w:val="22"/>
          <w:szCs w:val="22"/>
          <w:lang w:val="ru-RU"/>
        </w:rPr>
        <w:t xml:space="preserve"> 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МОК будет укреплять устойчивое управление здоровьем экосистем и услугами посредством скоординированных действий в области исследований, наблюдений, оценок, разработки и внедрения инструментов управления и РП, с использованием конкретных мероприятий по: </w:t>
      </w:r>
    </w:p>
    <w:p w14:paraId="41B54B08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координации и стимулированию исследований в области закисления океана, деоксигенирования, биогеохимии и загрязняющих веществ; определению индикаторов экосистем и критических точек, а также воздействия многочисленных стрессовых факторов на морское биоразнообразие и функционирование экосистем;</w:t>
      </w:r>
    </w:p>
    <w:p w14:paraId="630C520A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улучшению и расширению устойчивых глобальных наблюдений за основными биологическими, биогеохимическими и экосистемными переменными, имеющими значение и необходимыми для описания состояния экосистемы, в рамках ГСНО; </w:t>
      </w:r>
    </w:p>
    <w:p w14:paraId="6AB42531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укреплению центров и сетей данных и информации МООД, включая ОБИС, с обеспечением доступности ресурсов и передового опыта для популяризации стандартизированного сбора данных по видам и экосистемам и разработки продуктов и услуг, способствующих непрерывному мониторингу установленных показателей состояния экосистем, а также долгосрочному сохранению и доступности высококачественных океанических данных и информации; </w:t>
      </w:r>
    </w:p>
    <w:p w14:paraId="1C03C7A8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поддержке глобальных и региональных морских оценок в рамках Оценки Мирового океана ООН и других научных оценок, например, крупных морских экосистем и оценок в рамках МПБЭУ;</w:t>
      </w:r>
    </w:p>
    <w:p w14:paraId="580F3F5D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помощи государствам-членам в развитии необходимого потенциала и инструментов управления на основе экосистем, таких как морские пространственные планы, управление прибрежными районами, охраняемые морские районы;</w:t>
      </w:r>
    </w:p>
    <w:p w14:paraId="5BFEA9A0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использованию организаторских полномочий МОК для укрепления сотрудничества и координации между основными заинтересованными сторонами в области управления экосистемами и для создания эффективного взаимодействия между наукой, политикой и обществом;</w:t>
      </w:r>
    </w:p>
    <w:p w14:paraId="53BE4CF8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Вкладу в Десятилетие ООН по восстановлению экосистем (2021-2030 гг.).</w:t>
      </w:r>
    </w:p>
    <w:p w14:paraId="469BAADF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12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  <w:r w:rsidRPr="004024C3">
        <w:rPr>
          <w:rFonts w:asciiTheme="minorBidi" w:hAnsiTheme="minorBidi" w:cstheme="minorBidi"/>
          <w:b/>
          <w:bCs/>
          <w:color w:val="000000"/>
          <w:sz w:val="22"/>
          <w:szCs w:val="22"/>
          <w:lang w:val="ru-RU"/>
        </w:rPr>
        <w:t>Достижение цели 2 (Раннее предупреждение об опасных океанических явлениях)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:</w:t>
      </w:r>
      <w:r w:rsidR="00621590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 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МОК будет помогать прибрежным общинам и операторам в море управлять рисками, связанными с опасными океаническими явлениями, и повышать готовность к ним. МОК будет работать с государствами-членами и партнерами ООН в целях 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lastRenderedPageBreak/>
        <w:t xml:space="preserve">углубления понимания рисков, связанных с океаном, и внедрения эффективных систем раннего предупреждения о различных опасностях. </w:t>
      </w:r>
      <w:r w:rsidRPr="004024C3">
        <w:rPr>
          <w:rFonts w:asciiTheme="minorBidi" w:hAnsiTheme="minorBidi" w:cstheme="minorBidi"/>
          <w:color w:val="000000"/>
          <w:sz w:val="22"/>
          <w:szCs w:val="22"/>
        </w:rPr>
        <w:t>МОК будет:</w:t>
      </w:r>
    </w:p>
    <w:p w14:paraId="5CF7129D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поддерживать более тесную межправительственную координацию многоуровневых региональных систем предупреждения о цунами; </w:t>
      </w:r>
    </w:p>
    <w:p w14:paraId="0D91F691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содействовать вовлечению ключевых заинтересованных сторон в работу систем предупреждения о цунами, включая органы гражданской обороны и национальные гидрометеорологические службы;</w:t>
      </w:r>
    </w:p>
    <w:p w14:paraId="33ACD0E0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ускорять осуществление программы обеспечения готовности к цунами;</w:t>
      </w:r>
    </w:p>
    <w:p w14:paraId="07D5DDB2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содействовать исследованиям и разработке более технически совершенных систем обнаружения и предупреждения о цунами, способных бороться с цунами несейсмического происхождения;   </w:t>
      </w:r>
    </w:p>
    <w:p w14:paraId="32A6B19C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укреплять региональные центры информирования о цунами и расширять их возможности как информационно-координационных механизмов для разработки образовательных материалов и материалов по обеспечению готовности; </w:t>
      </w:r>
    </w:p>
    <w:p w14:paraId="3FF86D23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координировать исследования, мониторинг и разработку инструментов управления вредоносным цветением водорослей;</w:t>
      </w:r>
    </w:p>
    <w:p w14:paraId="387FABC9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повышать технический и научный потенциал раннего обнаружения и предупреждения морских инвазивных видов (например, путем применения новых технологий наблюдения, таких как метабаркодирование ДНК);</w:t>
      </w:r>
    </w:p>
    <w:p w14:paraId="14EE1038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направлять свои силы на РП и техническую помощь для расширения возможностей государств-членов по развитию готовности и осведомленности в отношении многообразных опасных явлений и смягчения их последствий; </w:t>
      </w:r>
    </w:p>
    <w:p w14:paraId="0BF0F1CA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обеспечивать соответствие системы наблюдения за океаном потребностям в океанографических данных, обмен которыми осуществляется в режиме реального времени, для оперативного раннего предупреждения об опасных явлениях, связанных с океаном;</w:t>
      </w:r>
    </w:p>
    <w:p w14:paraId="357883C3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поддерживать моделирование, исследования, средства обработки данных, инструментов разработки политики и планирования, способствующих совершенствованию систем предупреждения, готовности к опасным океаническим явлениям и океанических информационных служб.</w:t>
      </w:r>
    </w:p>
    <w:p w14:paraId="6B639E36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12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b/>
          <w:bCs/>
          <w:color w:val="000000"/>
          <w:sz w:val="22"/>
          <w:szCs w:val="22"/>
          <w:lang w:val="ru-RU"/>
        </w:rPr>
        <w:t>Достижение цели 3 (Устойчивость к изменению и изменчивости климата)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: МОК будет работать над повышением устойчивости к изменению и изменчивости климата с помощью комплексного подхода, который:</w:t>
      </w:r>
    </w:p>
    <w:p w14:paraId="67B97DAB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начинается с системы наблюдения за океаном для мониторинга глобальных и региональных стимулирующих факторов климата, его изменений и изменчивости; измерения основных переменных океана, например, физических параметров океана и климата, биогеохимии, биологии и экосистем; осуществления количественной оценки воздействия климата на океан, выражающееся, например, в </w:t>
      </w:r>
      <w:sdt>
        <w:sdtPr>
          <w:rPr>
            <w:rFonts w:asciiTheme="minorBidi" w:hAnsiTheme="minorBidi" w:cstheme="minorBidi"/>
            <w:sz w:val="22"/>
            <w:szCs w:val="22"/>
          </w:rPr>
          <w:tag w:val="goog_rdk_21"/>
          <w:id w:val="653568062"/>
        </w:sdtPr>
        <w:sdtEndPr/>
        <w:sdtContent/>
      </w:sdt>
      <w:sdt>
        <w:sdtPr>
          <w:rPr>
            <w:rFonts w:asciiTheme="minorBidi" w:hAnsiTheme="minorBidi" w:cstheme="minorBidi"/>
            <w:sz w:val="22"/>
            <w:szCs w:val="22"/>
          </w:rPr>
          <w:tag w:val="goog_rdk_22"/>
          <w:id w:val="-1283880352"/>
        </w:sdtPr>
        <w:sdtEndPr/>
        <w:sdtContent/>
      </w:sdt>
      <w:r w:rsidRPr="004024C3">
        <w:rPr>
          <w:rFonts w:asciiTheme="minorBidi" w:hAnsiTheme="minorBidi" w:cstheme="minorBidi"/>
          <w:sz w:val="22"/>
          <w:szCs w:val="22"/>
          <w:lang w:val="ru-RU"/>
        </w:rPr>
        <w:t xml:space="preserve">потеплении океана, включая океанические тепловые волны; описания параметров 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закисления океана и деоксигенирования; </w:t>
      </w:r>
      <w:r w:rsidRPr="004024C3">
        <w:rPr>
          <w:rFonts w:asciiTheme="minorBidi" w:hAnsiTheme="minorBidi" w:cstheme="minorBidi"/>
          <w:sz w:val="22"/>
          <w:szCs w:val="22"/>
          <w:lang w:val="ru-RU"/>
        </w:rPr>
        <w:t xml:space="preserve">измерения воздействия климата на 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морские и прибрежные экосистемы, включая утрату биоразнообразия; внесения вклада в передовую систему управления данными, построенную на основе глобальных стандартов и передовой практики</w:t>
      </w:r>
      <w:r w:rsidRPr="004024C3">
        <w:rPr>
          <w:rFonts w:asciiTheme="minorBidi" w:hAnsiTheme="minorBidi" w:cstheme="minorBidi"/>
          <w:sz w:val="22"/>
          <w:szCs w:val="22"/>
          <w:lang w:val="ru-RU"/>
        </w:rPr>
        <w:t>;</w:t>
      </w:r>
    </w:p>
    <w:p w14:paraId="5216F34B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координирует и направляет исследования океанического климата (в том числе через ВПИК), которые улучшают понимание океанических процессов и изменения климата, углеродного цикла в океане, повышают навыки 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lastRenderedPageBreak/>
        <w:t>прогнозирования изменчивости и изменения климата и создают базу знаний об изменениях в океанических экосистемах и стратегиях адаптации;</w:t>
      </w:r>
    </w:p>
    <w:p w14:paraId="55806CD8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предоставляет информацию для связанных с МОК и других процессов оценки; </w:t>
      </w:r>
    </w:p>
    <w:p w14:paraId="3ADC8A30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также предоставляет информацию для процесса РКИКООН по всему спектру связанных с океаном аспектов климата;</w:t>
      </w:r>
    </w:p>
    <w:p w14:paraId="39AE269C" w14:textId="77777777" w:rsidR="004024C3" w:rsidRPr="00621590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вносит вклад в развитие океанических и климатических услуг следующего поколения, включая координируемую </w:t>
      </w:r>
      <w:r w:rsidRPr="004024C3">
        <w:rPr>
          <w:rFonts w:asciiTheme="minorBidi" w:hAnsiTheme="minorBidi" w:cstheme="minorBidi"/>
          <w:color w:val="000000"/>
          <w:sz w:val="22"/>
          <w:szCs w:val="22"/>
        </w:rPr>
        <w:t xml:space="preserve">ВМО </w:t>
      </w:r>
      <w:r w:rsidRPr="00621590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Глобальную рамочную основу для климатического обслуживания; </w:t>
      </w:r>
    </w:p>
    <w:p w14:paraId="690BF9F9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применяет научные знания для информирования и укрепления системы управления океаном, управления прибрежными зонами, разработки и реализации стратегий адаптации к изменению климата и смягчения его последствий;</w:t>
      </w:r>
    </w:p>
    <w:p w14:paraId="0B81B45B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24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наращивает потенциал посредством обучения, демонстрационных проектов и совместного использования инструментов.</w:t>
      </w:r>
    </w:p>
    <w:p w14:paraId="09F0B3F2" w14:textId="77777777" w:rsidR="004024C3" w:rsidRPr="004024C3" w:rsidRDefault="00CC02B8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12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Bidi" w:hAnsiTheme="minorBidi" w:cstheme="minorBidi"/>
            <w:sz w:val="22"/>
            <w:szCs w:val="22"/>
          </w:rPr>
          <w:tag w:val="goog_rdk_23"/>
          <w:id w:val="-1100880996"/>
        </w:sdtPr>
        <w:sdtEndPr/>
        <w:sdtContent/>
      </w:sdt>
      <w:sdt>
        <w:sdtPr>
          <w:rPr>
            <w:rFonts w:asciiTheme="minorBidi" w:hAnsiTheme="minorBidi" w:cstheme="minorBidi"/>
            <w:sz w:val="22"/>
            <w:szCs w:val="22"/>
          </w:rPr>
          <w:tag w:val="goog_rdk_24"/>
          <w:id w:val="975414087"/>
        </w:sdtPr>
        <w:sdtEndPr/>
        <w:sdtContent>
          <w:r w:rsidR="004024C3" w:rsidRPr="004024C3">
            <w:rPr>
              <w:rFonts w:asciiTheme="minorBidi" w:hAnsiTheme="minorBidi" w:cstheme="minorBidi"/>
              <w:b/>
              <w:bCs/>
              <w:color w:val="000000"/>
              <w:sz w:val="22"/>
              <w:szCs w:val="22"/>
              <w:lang w:val="ru-RU"/>
            </w:rPr>
            <w:t>Достижение цели 4 (Научные услуги для устойчивой экономики океана)</w:t>
          </w:r>
        </w:sdtContent>
      </w:sdt>
      <w:r w:rsidR="004024C3"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: МОК будет разрабатывать научно-техническую информацию, услуги и инструменты управления для ответственного роста устойчивой экономики океана. По прогнозам, к 2030 году экономика океана, стимулируемая, в частности</w:t>
      </w:r>
      <w:r w:rsidR="004024C3" w:rsidRPr="004024C3">
        <w:rPr>
          <w:rFonts w:asciiTheme="minorBidi" w:hAnsiTheme="minorBidi" w:cstheme="minorBidi"/>
          <w:i/>
          <w:iCs/>
          <w:color w:val="000000"/>
          <w:sz w:val="22"/>
          <w:szCs w:val="22"/>
          <w:lang w:val="ru-RU"/>
        </w:rPr>
        <w:t>,</w:t>
      </w:r>
      <w:r w:rsidR="004024C3"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 ростом возобновляемых источников энергии океана, аквакультуры и туризма, займет более значительное место в национальной экономике. Открытый доступ к информации и прочная база знаний об океане будут способствовать развитию экономических возможностей и росту занятости, а также защите морской среды и обеспечению устойчивого использования ресурсов океана. МОК будет углублять свое взаимодействие и партнерство с морским сектором путем:</w:t>
      </w:r>
    </w:p>
    <w:p w14:paraId="7233F6D2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предоставления океанических наблюдений и данных для оперативного обслуживания морских отраслей, а также для биогеохимического и биологического изучения/исследования и оценки устойчивости экосистемных услуг;</w:t>
      </w:r>
    </w:p>
    <w:p w14:paraId="4E90C110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предоставления целевых продуктов и услуг в области данных и информации через Систему океанографических данных и информации и «Инфохаб-Океан», включая их региональные центры;</w:t>
      </w:r>
    </w:p>
    <w:p w14:paraId="224B5682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координацию научных оценок, необходимых для определения экосистемных порого</w:t>
      </w:r>
      <w:r w:rsidR="00621590">
        <w:rPr>
          <w:rFonts w:asciiTheme="minorBidi" w:hAnsiTheme="minorBidi" w:cstheme="minorBidi"/>
          <w:color w:val="000000"/>
          <w:sz w:val="22"/>
          <w:szCs w:val="22"/>
          <w:lang w:val="ru-RU"/>
        </w:rPr>
        <w:t>в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 безопасной деятельности и выявления путей устойчивого развития;</w:t>
      </w:r>
    </w:p>
    <w:p w14:paraId="3F428EF2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содействия развитию экосистемных подходов к охране окружающей среды и трансграничных подходов к управлению, таких как «крупные морские экосистемы»;</w:t>
      </w:r>
    </w:p>
    <w:p w14:paraId="7772ABF5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продвижения управления прибрежными районами и морского пространственного планирования в глобальном масштабе как эффективных процессов, способствующих устойчивой экономической деятельности и разрешению конфликтов между конкурирующими пользователями океанического пространства; </w:t>
      </w:r>
    </w:p>
    <w:p w14:paraId="053BD23D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содействия повышению экономической ценности комплексной цепочки мероприятий МОК с оценкой отдачи от инвестиций в океанические исследования и наблюдения;</w:t>
      </w:r>
    </w:p>
    <w:p w14:paraId="62FD27EE" w14:textId="77777777" w:rsidR="004024C3" w:rsidRPr="004024C3" w:rsidRDefault="004024C3" w:rsidP="004024C3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spacing w:after="120"/>
        <w:ind w:left="1276" w:hanging="572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оказания помощи государствам-членам в развитии их потенциала для ответственного управления и устойчивой эксплуатации океанических ресурсов.</w:t>
      </w:r>
    </w:p>
    <w:p w14:paraId="24F1B106" w14:textId="77777777" w:rsidR="004024C3" w:rsidRPr="004024C3" w:rsidRDefault="00CC02B8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sdt>
        <w:sdtPr>
          <w:rPr>
            <w:rFonts w:asciiTheme="minorBidi" w:hAnsiTheme="minorBidi" w:cstheme="minorBidi"/>
            <w:b/>
            <w:sz w:val="22"/>
            <w:szCs w:val="22"/>
            <w:u w:val="single"/>
          </w:rPr>
          <w:tag w:val="goog_rdk_25"/>
          <w:id w:val="-102114411"/>
        </w:sdtPr>
        <w:sdtEndPr/>
        <w:sdtContent/>
      </w:sdt>
      <w:r w:rsidR="004024C3" w:rsidRPr="004024C3">
        <w:rPr>
          <w:rFonts w:asciiTheme="minorBidi" w:hAnsiTheme="minorBidi" w:cstheme="minorBidi"/>
          <w:b/>
          <w:bCs/>
          <w:color w:val="000000"/>
          <w:sz w:val="22"/>
          <w:szCs w:val="22"/>
          <w:u w:val="single"/>
          <w:lang w:val="ru-RU"/>
        </w:rPr>
        <w:t>Достижение цели 5 (Прогнозирование возникающих проблем океана)</w:t>
      </w:r>
      <w:r w:rsidR="004024C3"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: В целях выявления и, по возможности, предупреждения возникающих проблем МОК будет координировать научные исследования на переднем крае науки и выступать в качестве платформы для постановки таких проблем в актуальной для политики форме. Укрепление и расширение систем наблюдения за океаном и связанных с ними глобальных систем управления данными/информацией будет способствовать проведению исследований по возникающим вопросам и дальнейшему развитию потенциала для устранения пробелов в знаниях. Совместно с партнерами МОК будет содействовать необходимому международному сотрудничеству для поддержки исследований по возникающим проблемам океанической среды, включая:</w:t>
      </w:r>
    </w:p>
    <w:p w14:paraId="67210BAB" w14:textId="77777777" w:rsidR="004024C3" w:rsidRPr="004024C3" w:rsidRDefault="004024C3" w:rsidP="0062159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1064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скоординированные научные исследования воздействия на морскую экосистему новых загрязняющих веществ и многочисленных новых стрессовых факторов, возникающих в результате изменения климата и антропогенного воздействия;</w:t>
      </w:r>
    </w:p>
    <w:p w14:paraId="79C98CD0" w14:textId="77777777" w:rsidR="004024C3" w:rsidRPr="004024C3" w:rsidRDefault="004024C3" w:rsidP="0062159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1064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систему наблюдений за океаном с технологически продвинутыми автономными приборами и глобальными системами обработки и управления данными/информацией, которые могут быть адаптированы к новым потребностям;</w:t>
      </w:r>
    </w:p>
    <w:p w14:paraId="442C04C5" w14:textId="77777777" w:rsidR="004024C3" w:rsidRPr="004024C3" w:rsidRDefault="004024C3" w:rsidP="0062159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1064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научные обобщения и оценки, которые предоставляют практически полезную информацию о новых угрозах или возможностях; </w:t>
      </w:r>
    </w:p>
    <w:p w14:paraId="67BFC11F" w14:textId="77777777" w:rsidR="004024C3" w:rsidRPr="004024C3" w:rsidRDefault="004024C3" w:rsidP="0062159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1060" w:hanging="357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доведение результатов до сведения лиц, принимающих решения, и предоставление государствам-членам платформы для вынесения возникающих национальных и региональных проблем на рассмотрение ООН и других межправительственных форумов. </w:t>
      </w:r>
    </w:p>
    <w:p w14:paraId="4260AE02" w14:textId="77777777" w:rsidR="004024C3" w:rsidRPr="009D760D" w:rsidRDefault="004024C3" w:rsidP="004024C3">
      <w:pPr>
        <w:keepNext/>
        <w:spacing w:after="240"/>
        <w:rPr>
          <w:rFonts w:asciiTheme="minorBidi" w:hAnsiTheme="minorBidi" w:cstheme="minorBidi"/>
          <w:b/>
          <w:color w:val="0070C0"/>
          <w:sz w:val="22"/>
          <w:szCs w:val="22"/>
        </w:rPr>
      </w:pPr>
      <w:r w:rsidRPr="009D760D">
        <w:rPr>
          <w:rFonts w:asciiTheme="minorBidi" w:hAnsiTheme="minorBidi" w:cstheme="minorBidi"/>
          <w:b/>
          <w:bCs/>
          <w:color w:val="0070C0"/>
          <w:sz w:val="22"/>
          <w:szCs w:val="22"/>
        </w:rPr>
        <w:t>РАЗВИТИЕ ПОТЕНЦИАЛА</w:t>
      </w:r>
    </w:p>
    <w:p w14:paraId="12006436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Конвенция ООН по морскому праву (ЮНКЛОС) признает МОК в качестве компетентной международной организации в области морских научных исследований (часть</w:t>
      </w:r>
      <w:r w:rsidR="00621590">
        <w:rPr>
          <w:rFonts w:asciiTheme="minorBidi" w:hAnsiTheme="minorBidi" w:cstheme="minorBidi"/>
          <w:color w:val="000000"/>
          <w:sz w:val="22"/>
          <w:szCs w:val="22"/>
          <w:lang w:val="ru-RU"/>
        </w:rPr>
        <w:t> </w:t>
      </w:r>
      <w:r w:rsidRPr="004024C3">
        <w:rPr>
          <w:rFonts w:asciiTheme="minorBidi" w:hAnsiTheme="minorBidi" w:cstheme="minorBidi"/>
          <w:color w:val="000000"/>
          <w:sz w:val="22"/>
          <w:szCs w:val="22"/>
        </w:rPr>
        <w:t>XIII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 ЮНКЛОС) и ПМТ (часть </w:t>
      </w:r>
      <w:r w:rsidRPr="004024C3">
        <w:rPr>
          <w:rFonts w:asciiTheme="minorBidi" w:hAnsiTheme="minorBidi" w:cstheme="minorBidi"/>
          <w:color w:val="000000"/>
          <w:sz w:val="22"/>
          <w:szCs w:val="22"/>
        </w:rPr>
        <w:t>XIV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). </w:t>
      </w:r>
    </w:p>
    <w:p w14:paraId="34112B28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Усилия МОК в области развития потенциала (РП) будут по-прежнему определяться Стратегией МОК в области развития потенциала. Эти усилия будут увеличены в ходе реализации Десятилетия. </w:t>
      </w:r>
      <w:r w:rsidRPr="004024C3">
        <w:rPr>
          <w:rFonts w:asciiTheme="minorBidi" w:hAnsiTheme="minorBidi" w:cstheme="minorBidi"/>
          <w:i/>
          <w:iCs/>
          <w:color w:val="000000"/>
          <w:sz w:val="22"/>
          <w:szCs w:val="22"/>
          <w:lang w:val="ru-RU"/>
        </w:rPr>
        <w:t>Научный доклад о Мировом океане за 2020 год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 будет служить ключевым ориентиром для работы МОК, а последующие издания доклада позволят отслеживать прогресс. МОК будет продолжать систематически укреплять потенциал всех государств-членов МОК для проведения научных исследований и использования их результатов, не оставляя никого без внимания. Этот компонент работы МОК в области РП будет включать в себя введение в действие Критериев и руководящих принципов МОК по передаче морской технологии (ПМТ) и информационно-координационному механизму ПМТ. </w:t>
      </w:r>
    </w:p>
    <w:p w14:paraId="11B17893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В частности, МОК создаст сеть региональных и тематических центров ПМТ и расширит обмен научно-техническим потенциалом между государствами-членами, помогая им предоставлять более широкий спектр продуктов и услуг в области данных и информации. Проект «Инфохаб-Океан» МООД станет отправной точкой для создания будущей системы океанографических данных и информации МОК, обеспечивающей взаимодействие местных, региональных и тематических данных и информации и связывающей участников и пользователей с необходимыми ресурсами. Эти разработки будут осуществляться с учетом Стратегического плана МОК по управлению данными и информацией и в соответствии с политикой МОК по обмену океанографическими данными. Будут проводиться регулярные исследования потребностей в РП, и будет создана единая 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lastRenderedPageBreak/>
        <w:t xml:space="preserve">онлайновая база данных о возможностях обучения с использованием двусторонних и многосторонних отношений, включая участие </w:t>
      </w:r>
      <w:r w:rsidRPr="004024C3">
        <w:rPr>
          <w:rFonts w:asciiTheme="minorBidi" w:hAnsiTheme="minorBidi" w:cstheme="minorBidi"/>
          <w:sz w:val="22"/>
          <w:szCs w:val="22"/>
          <w:lang w:val="ru-RU"/>
        </w:rPr>
        <w:t xml:space="preserve">межправительственных организаций. </w:t>
      </w:r>
    </w:p>
    <w:p w14:paraId="606B471D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Будет продолжена и активизирована работа Группы экспертов МОК по развитию потенциала. МОК внесет существенный вклад в развитие потенциала государств-членов в отношении нового международного юридически обязательного документа по БПНЮ, одновременно работая над достижением цели 14.</w:t>
      </w:r>
      <w:r w:rsidRPr="004024C3">
        <w:rPr>
          <w:rFonts w:asciiTheme="minorBidi" w:hAnsiTheme="minorBidi" w:cstheme="minorBidi"/>
          <w:color w:val="000000"/>
          <w:sz w:val="22"/>
          <w:szCs w:val="22"/>
        </w:rPr>
        <w:t>a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 Повестки дня на период до 2030 года</w:t>
      </w:r>
      <w:r w:rsidRPr="004024C3">
        <w:rPr>
          <w:rStyle w:val="FootnoteReference"/>
          <w:rFonts w:asciiTheme="minorBidi" w:hAnsiTheme="minorBidi" w:cstheme="minorBidi"/>
          <w:color w:val="000000"/>
          <w:sz w:val="22"/>
          <w:szCs w:val="22"/>
        </w:rPr>
        <w:footnoteReference w:id="1"/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. Международная многоязычная подготовка по различным аспектам управления океаном продолжится в Глобальной академии МОК «Океан-Инструктор» нового поколения с ее сетью региональных и специализированных учебных центров, региональных учебных и исследовательских центров ВЕСТПАК и центров в области морских наук под эгидой ЮНЕСКО (категории 2). </w:t>
      </w:r>
    </w:p>
    <w:p w14:paraId="0E9407B8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МОК будет продолжать расширять свою деятельность в области повышения грамотности в связанных с океаном вопросах путем осуществления специальной стратегии.</w:t>
      </w:r>
      <w:sdt>
        <w:sdtPr>
          <w:rPr>
            <w:rFonts w:asciiTheme="minorBidi" w:hAnsiTheme="minorBidi" w:cstheme="minorBidi"/>
            <w:sz w:val="22"/>
            <w:szCs w:val="22"/>
          </w:rPr>
          <w:tag w:val="goog_rdk_33"/>
          <w:id w:val="875509077"/>
        </w:sdtPr>
        <w:sdtEndPr/>
        <w:sdtContent/>
      </w:sdt>
      <w:sdt>
        <w:sdtPr>
          <w:rPr>
            <w:rFonts w:asciiTheme="minorBidi" w:hAnsiTheme="minorBidi" w:cstheme="minorBidi"/>
            <w:sz w:val="22"/>
            <w:szCs w:val="22"/>
          </w:rPr>
          <w:tag w:val="goog_rdk_34"/>
          <w:id w:val="1370571569"/>
        </w:sdtPr>
        <w:sdtEndPr/>
        <w:sdtContent/>
      </w:sdt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 Эта работа будет способствовать повышению значимости океана для основных заинтересованных сторон, включая широкую общественность. Она углубит понимание роли океана для людей и воздействия человека на океан, а также ценности науки для обеспечения понимания и устранения воздействия человека, необходимого для обеспечения устойчивого использования океана для всех. Работая в рамках ЮНЕСКО и с партнерами, МОК будет стремиться к включению базовых знаний об океане в школьные учебные программы.</w:t>
      </w:r>
    </w:p>
    <w:p w14:paraId="5FF8CBB3" w14:textId="77777777" w:rsidR="004024C3" w:rsidRPr="004024C3" w:rsidRDefault="004024C3" w:rsidP="004024C3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59" w:lineRule="auto"/>
        <w:rPr>
          <w:rFonts w:asciiTheme="minorBidi" w:hAnsiTheme="minorBidi" w:cstheme="minorBidi"/>
          <w:b/>
          <w:color w:val="000000"/>
          <w:sz w:val="22"/>
          <w:szCs w:val="22"/>
        </w:rPr>
      </w:pPr>
      <w:r w:rsidRPr="004024C3">
        <w:rPr>
          <w:rFonts w:asciiTheme="minorBidi" w:hAnsiTheme="minorBidi" w:cstheme="minorBidi"/>
          <w:b/>
          <w:bCs/>
          <w:color w:val="000000"/>
          <w:sz w:val="22"/>
          <w:szCs w:val="22"/>
        </w:rPr>
        <w:t>РАБОТА НА МЕСТАХ</w:t>
      </w:r>
    </w:p>
    <w:p w14:paraId="66AB7229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Для достижения целевых установок Повестки дня на период до 2030 года и лучшего реагирования на потребности государств-членов Организация Объединенных Наций будет преобразовываться, усиливая акцент на региональном масштабе и скоординированной работе всех агентств ООН через региональные платформы сотрудничества ООН и страновые группы. МОК также активизирует свою помощь и предоставление услуг на уровне государств-членов. </w:t>
      </w:r>
    </w:p>
    <w:p w14:paraId="5A476A75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Чтобы охватить необходимый глобальный объем деятельности, МОК будет осуществлять работу через государства-члены и стремиться к партнерству и синергии с организациями, связанными с океаном, включая те, которые имеют региональную направленность. МОК будет также стремиться к заметному использованию деятельности своих государств-членов, признавая их значительный потенциал, зачастую уже задействованный во многих глобальных и региональных программах МОК. МОК будет поддерживать связь с соответствующими национальными, региональными и крупномасштабными международными инициативами этих государств-членов с целью привлечения их к выполнению своих различных функций и обеспечения внесения ими вклада в Десятилетие ООН, посвященное науке об океане в интересах устойчивого развития, и пользования его результатами. </w:t>
      </w:r>
    </w:p>
    <w:p w14:paraId="00CBE300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Региональное и местное развитие наиболее эффективно достигается благодаря работе региональных вспомогательных органов МОК, ориентированных как на конкретные цели развития государств-членов, так и на согласованные на международном уровне приоритеты развития. Четыре региональных вспомогательных органа МОК (ВЕСТПАК, МОКАРИБ, МОКАФРИКА и ИОСИНДИО) имеют первостепенное значение для миссии МОК, повышая ее ценность и обеспечивая надежное участие государств-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lastRenderedPageBreak/>
        <w:t xml:space="preserve">членов в программах. Региональные вспомогательные органы МОК адаптируют свой подход и повестку дня с учетом конкретных потребностей и возможностей, существующих в их соответствующих регионах. Помимо осуществления глобальных программ МОК в регионах, они способствуют развитию партнерских отношений для реализации и координации региональных программ, проектов и мероприятий. Среди прочих видов деятельности они являются наиболее эффективными платформами для совместной с государствами-членами разработки и осуществления деятельности МОК в области РП, не оставляя никого без внимания. </w:t>
      </w:r>
    </w:p>
    <w:p w14:paraId="28D017F8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eastAsia="Helvetica Neue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eastAsia="Helvetica Neue" w:hAnsiTheme="minorBidi" w:cstheme="minorBidi"/>
          <w:color w:val="000000"/>
          <w:sz w:val="22"/>
          <w:szCs w:val="22"/>
          <w:lang w:val="ru-RU"/>
        </w:rPr>
        <w:t>Население и государства</w:t>
      </w:r>
      <w:r w:rsidR="00783FFF" w:rsidRPr="00783FFF">
        <w:rPr>
          <w:rFonts w:asciiTheme="minorBidi" w:eastAsia="Helvetica Neue" w:hAnsiTheme="minorBidi" w:cstheme="minorBidi"/>
          <w:color w:val="000000"/>
          <w:sz w:val="22"/>
          <w:szCs w:val="22"/>
          <w:lang w:val="ru-RU"/>
        </w:rPr>
        <w:t xml:space="preserve"> </w:t>
      </w:r>
      <w:r w:rsidR="00783FFF">
        <w:rPr>
          <w:rFonts w:asciiTheme="minorBidi" w:eastAsia="Helvetica Neue" w:hAnsiTheme="minorBidi" w:cstheme="minorBidi"/>
          <w:color w:val="000000"/>
          <w:sz w:val="22"/>
          <w:szCs w:val="22"/>
          <w:lang w:val="ru-RU"/>
        </w:rPr>
        <w:t>–</w:t>
      </w:r>
      <w:r w:rsidR="00783FFF" w:rsidRPr="00783FFF">
        <w:rPr>
          <w:rFonts w:asciiTheme="minorBidi" w:eastAsia="Helvetica Neue" w:hAnsiTheme="minorBidi" w:cstheme="minorBidi"/>
          <w:color w:val="000000"/>
          <w:sz w:val="22"/>
          <w:szCs w:val="22"/>
          <w:lang w:val="ru-RU"/>
        </w:rPr>
        <w:t xml:space="preserve"> </w:t>
      </w:r>
      <w:r w:rsidRPr="004024C3">
        <w:rPr>
          <w:rFonts w:asciiTheme="minorBidi" w:eastAsia="Helvetica Neue" w:hAnsiTheme="minorBidi" w:cstheme="minorBidi"/>
          <w:color w:val="000000"/>
          <w:sz w:val="22"/>
          <w:szCs w:val="22"/>
          <w:lang w:val="ru-RU"/>
        </w:rPr>
        <w:t>члены Подкомиссии МОК для западной части Тихого океана (</w:t>
      </w:r>
      <w:r w:rsidRPr="004024C3">
        <w:rPr>
          <w:rFonts w:asciiTheme="minorBidi" w:eastAsia="Helvetica Neue" w:hAnsiTheme="minorBidi" w:cstheme="minorBidi"/>
          <w:b/>
          <w:bCs/>
          <w:color w:val="000000"/>
          <w:sz w:val="22"/>
          <w:szCs w:val="22"/>
          <w:lang w:val="ru-RU"/>
        </w:rPr>
        <w:t>ВЕСТПАК</w:t>
      </w:r>
      <w:r w:rsidRPr="004024C3">
        <w:rPr>
          <w:rFonts w:asciiTheme="minorBidi" w:eastAsia="Helvetica Neue" w:hAnsiTheme="minorBidi" w:cstheme="minorBidi"/>
          <w:color w:val="000000"/>
          <w:sz w:val="22"/>
          <w:szCs w:val="22"/>
          <w:lang w:val="ru-RU"/>
        </w:rPr>
        <w:t xml:space="preserve">), густонаселенного и быстро развивающегося в технологическом отношении региона, в котором океан отличается богатейшим морским биоразнообразием, нуждаются в решениях, позволяющих сбалансировать проблемы развития с устойчивостью океана. </w:t>
      </w:r>
      <w:sdt>
        <w:sdtPr>
          <w:rPr>
            <w:rFonts w:asciiTheme="minorBidi" w:hAnsiTheme="minorBidi" w:cstheme="minorBidi"/>
            <w:sz w:val="22"/>
            <w:szCs w:val="22"/>
          </w:rPr>
          <w:tag w:val="goog_rdk_43"/>
          <w:id w:val="-1755129818"/>
        </w:sdtPr>
        <w:sdtEndPr/>
        <w:sdtContent>
          <w:r w:rsidRPr="004024C3">
            <w:rPr>
              <w:rFonts w:asciiTheme="minorBidi" w:eastAsia="Helvetica Neue" w:hAnsiTheme="minorBidi" w:cstheme="minorBidi"/>
              <w:color w:val="000000"/>
              <w:sz w:val="22"/>
              <w:szCs w:val="22"/>
              <w:lang w:val="ru-RU"/>
            </w:rPr>
            <w:t>Целью</w:t>
          </w:r>
        </w:sdtContent>
      </w:sdt>
      <w:r w:rsidRPr="004024C3">
        <w:rPr>
          <w:rFonts w:asciiTheme="minorBidi" w:eastAsia="Helvetica Neue" w:hAnsiTheme="minorBidi" w:cstheme="minorBidi"/>
          <w:color w:val="000000"/>
          <w:sz w:val="22"/>
          <w:szCs w:val="22"/>
          <w:lang w:val="ru-RU"/>
        </w:rPr>
        <w:t xml:space="preserve"> ВЕСТПАК является дальнейшее укрепление взаимодействия науки и политики, содействие многодисциплинарным и ориентированным на прикладные решения океаническим исследованиям и инновациям, совершенствование служб и прикладных программ океанического прогнозирования, а также создание и мобилизация долгосрочных партнерских связей. Подкомиссия продолжит совместную разработку приоритетов своей программы с государствами-членами и будет осуществлять широкий спектр мероприятий, лежащих в основе устойчивости океана, включая, в частности, изменение океана и климата, морское биоразнообразие, безопасность и сохранность морепродуктов, здоровье экосистем океана и другие возникающие вопросы. Для ускорения РП и передачи морской технологии Подкомиссия будет продолжать расширять возможности отдельных лиц, учреждений и государств-членов, в частности, посредством интегрированных и устойчивых структур в области РП, таких как Региональная сеть учебных и исследовательских центров по морским наукам ВЕСТПАК (РТРС), путем включения РП в свои международные исследовательские программы, разработки и проведения специализированных национальных и международных тренингов, вовлечения начинающих специалистов-океанографов в международные исследовательские программы и поощрения их исследовательской работы.</w:t>
      </w:r>
      <w:r w:rsidRPr="004024C3">
        <w:rPr>
          <w:rFonts w:asciiTheme="minorBidi" w:eastAsia="Helvetica Neue" w:hAnsiTheme="minorBidi" w:cstheme="minorBidi"/>
          <w:color w:val="000000"/>
          <w:sz w:val="22"/>
          <w:szCs w:val="22"/>
        </w:rPr>
        <w:t> </w:t>
      </w:r>
      <w:r w:rsidRPr="004024C3">
        <w:rPr>
          <w:rFonts w:asciiTheme="minorBidi" w:eastAsia="Helvetica Neue" w:hAnsiTheme="minorBidi" w:cstheme="minorBidi"/>
          <w:color w:val="000000"/>
          <w:sz w:val="22"/>
          <w:szCs w:val="22"/>
          <w:lang w:val="ru-RU"/>
        </w:rPr>
        <w:t>ВЕСТПАК будет оказывать МОК помощь в координации регионального участия в Десятилетии.</w:t>
      </w:r>
    </w:p>
    <w:p w14:paraId="52345BF0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Подкомиссия МОК для Африки и прилегающих островных государств</w:t>
      </w:r>
      <w:r w:rsidR="00783FFF">
        <w:rPr>
          <w:rFonts w:asciiTheme="minorBidi" w:hAnsiTheme="minorBidi" w:cstheme="minorBidi"/>
          <w:color w:val="000000"/>
          <w:sz w:val="22"/>
          <w:szCs w:val="22"/>
          <w:lang w:val="en-US"/>
        </w:rPr>
        <w:t> 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(</w:t>
      </w:r>
      <w:r w:rsidRPr="004024C3">
        <w:rPr>
          <w:rFonts w:asciiTheme="minorBidi" w:hAnsiTheme="minorBidi" w:cstheme="minorBidi"/>
          <w:b/>
          <w:bCs/>
          <w:color w:val="000000"/>
          <w:sz w:val="22"/>
          <w:szCs w:val="22"/>
          <w:lang w:val="ru-RU"/>
        </w:rPr>
        <w:t>МОКАФРИКА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) сосредоточит свою работу и энергию на обеспечении океанологической научной базы для решения социальных проблем и содействия развитию устойчивой экономики океана в этом регионе. РП, в частности, совершенствование инфраструктуры и средств для проведения исследований, обеспечение подготовки научного и технического персонала, а также трансформирование науки в политику, будет оставаться приоритетом. В соответствии с Планом проведения Десятилетия МОКАФРИКА будет разрабатывать и осуществлять программы в области мониторинга и прогнозирования океана, уязвимости прибрежных районов и снижения риска бедствий, воздействия изменения климата на прибрежные зоны, морского пространственного планирования, морского биоразнообразия и биогеографии, повышения грамотности в связанных с океаном вопросах и трансформирования результатов исследований в политику, необходимую для устойчивого управления океаном и прибрежными районами. МОКАФРИКА будет стремиться к разработке «домашних решений» путем привлечения африканских новаторов и поддержки технологий, разработанных на местном уровне. В этом отношении МОКАФРИКА будет, в частности, привлекать африканскую молодежь и начинающих специалистов. Программы МОКАФРИКА будут согласованы с инициативами Африканского союза, такими как его Повестка дня на период до 2063 года, признающая океаническую экономику одним из основных факторов преобразования и роста континента, а также Африканская комплексная морская стратегия на период до 2050 года, обеспечивающая путь к росту благосостояния за счет океанов и морей Африки путем развития устойчивой процветающей экономики океана. </w:t>
      </w:r>
    </w:p>
    <w:p w14:paraId="3DB7D92C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eastAsia="Helvetica Neue" w:hAnsiTheme="minorBidi" w:cstheme="minorBidi"/>
          <w:color w:val="000000"/>
          <w:sz w:val="22"/>
          <w:szCs w:val="22"/>
          <w:lang w:val="ru-RU"/>
        </w:rPr>
        <w:lastRenderedPageBreak/>
        <w:t>Подкомиссия МОК для Карибского бассейна и прилегающих регионов</w:t>
      </w:r>
      <w:r w:rsidR="00783FFF">
        <w:rPr>
          <w:rFonts w:asciiTheme="minorBidi" w:eastAsia="Helvetica Neue" w:hAnsiTheme="minorBidi" w:cstheme="minorBidi"/>
          <w:color w:val="000000"/>
          <w:sz w:val="22"/>
          <w:szCs w:val="22"/>
          <w:lang w:val="en-US"/>
        </w:rPr>
        <w:t> </w:t>
      </w:r>
      <w:r w:rsidRPr="004024C3">
        <w:rPr>
          <w:rFonts w:asciiTheme="minorBidi" w:eastAsia="Helvetica Neue" w:hAnsiTheme="minorBidi" w:cstheme="minorBidi"/>
          <w:color w:val="000000"/>
          <w:sz w:val="22"/>
          <w:szCs w:val="22"/>
          <w:lang w:val="ru-RU"/>
        </w:rPr>
        <w:t>(</w:t>
      </w:r>
      <w:r w:rsidRPr="004024C3">
        <w:rPr>
          <w:rFonts w:asciiTheme="minorBidi" w:eastAsia="Helvetica Neue" w:hAnsiTheme="minorBidi" w:cstheme="minorBidi"/>
          <w:b/>
          <w:bCs/>
          <w:color w:val="000000"/>
          <w:sz w:val="22"/>
          <w:szCs w:val="22"/>
          <w:lang w:val="ru-RU"/>
        </w:rPr>
        <w:t>МОКАРИБ</w:t>
      </w:r>
      <w:r w:rsidRPr="004024C3">
        <w:rPr>
          <w:rFonts w:asciiTheme="minorBidi" w:eastAsia="Helvetica Neue" w:hAnsiTheme="minorBidi" w:cstheme="minorBidi"/>
          <w:color w:val="000000"/>
          <w:sz w:val="22"/>
          <w:szCs w:val="22"/>
          <w:lang w:val="ru-RU"/>
        </w:rPr>
        <w:t xml:space="preserve">) будет </w:t>
      </w:r>
      <w:r w:rsidR="007338EA">
        <w:rPr>
          <w:rFonts w:asciiTheme="minorBidi" w:eastAsia="Helvetica Neue" w:hAnsiTheme="minorBidi" w:cstheme="minorBidi"/>
          <w:color w:val="000000"/>
          <w:sz w:val="22"/>
          <w:szCs w:val="22"/>
          <w:lang w:val="ru-RU"/>
        </w:rPr>
        <w:t xml:space="preserve">продолжать </w:t>
      </w:r>
      <w:r w:rsidRPr="004024C3">
        <w:rPr>
          <w:rFonts w:asciiTheme="minorBidi" w:eastAsia="Helvetica Neue" w:hAnsiTheme="minorBidi" w:cstheme="minorBidi"/>
          <w:color w:val="000000"/>
          <w:sz w:val="22"/>
          <w:szCs w:val="22"/>
          <w:lang w:val="ru-RU"/>
        </w:rPr>
        <w:t xml:space="preserve">вносить весомый региональный вклад в работу всех программ МОК и согласует свою деятельность со стратегическими рамками Десятилетия. Основной целью будет оказание помощи континентальным прибрежным государствам-членам Латинской Америки и Карибского бассейна и государствам-членам МОСРГ в достижении устойчивого использования ресурсов океана и прибрежной зоны. При этом МОКАРИБ будет использовать преимущества своего региона, который характеризуется биоразнообразием, богат ресурсами и является одним из ключевых мировых туристических направлений. Наука об океане будет играть центральную роль в решении основных региональных задач МОКАРИБ, где проявления изменения климата, такие как ураганы, сильные штормы, затопление прибрежных районов, эрозия прибрежных районов и выброс на берег морской травы, происходят на фоне общей низкой устойчивости островных стран. Основным направлением станет укрепление потенциала государств-членов в области управления океаном в национальном и трансграничном контексте на основе экосистемного подхода к управлению, продолжение </w:t>
      </w:r>
      <w:sdt>
        <w:sdtPr>
          <w:rPr>
            <w:rFonts w:asciiTheme="minorBidi" w:hAnsiTheme="minorBidi" w:cstheme="minorBidi"/>
            <w:sz w:val="22"/>
            <w:szCs w:val="22"/>
          </w:rPr>
          <w:tag w:val="goog_rdk_46"/>
          <w:id w:val="-1673247217"/>
        </w:sdtPr>
        <w:sdtEndPr/>
        <w:sdtContent/>
      </w:sdt>
      <w:r w:rsidRPr="004024C3">
        <w:rPr>
          <w:rFonts w:asciiTheme="minorBidi" w:eastAsia="Helvetica Neue" w:hAnsiTheme="minorBidi" w:cstheme="minorBidi"/>
          <w:color w:val="000000"/>
          <w:sz w:val="22"/>
          <w:szCs w:val="22"/>
          <w:lang w:val="ru-RU"/>
        </w:rPr>
        <w:t>реализации Стратегической программы действий проекта «Экоэкономика и эффективность управления прибрежной зоной в Карибском бассейне» и поддержка создания Координационного механизма и плана устойчивого финансирования управления океаном. Подкомиссия также будет оказывать помощь государствам-членам в разработке национальной и региональной политики и планов по развитию океанических наук и технологий. МОКАРИБ будет укреплять и расширять научное сотрудничество на региональном и международном уровнях посредством создания региональных сетей и институциональных механизмов между организациями системы ООН, МПО, НПО и научным сообществом. Признавая неодинаковость государств-членов в области РП и технологий, МОКАРИБ будет осуществлять проекты по усовершенствованию передачи морской технологии.</w:t>
      </w:r>
    </w:p>
    <w:p w14:paraId="51133A03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Региональный комитет МОК для центральной части Индийского океана</w:t>
      </w:r>
      <w:r w:rsidR="00783FFF">
        <w:rPr>
          <w:rFonts w:asciiTheme="minorBidi" w:hAnsiTheme="minorBidi" w:cstheme="minorBidi"/>
          <w:color w:val="000000"/>
          <w:sz w:val="22"/>
          <w:szCs w:val="22"/>
          <w:lang w:val="en-US"/>
        </w:rPr>
        <w:t> 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(</w:t>
      </w:r>
      <w:r w:rsidRPr="004024C3">
        <w:rPr>
          <w:rFonts w:asciiTheme="minorBidi" w:hAnsiTheme="minorBidi" w:cstheme="minorBidi"/>
          <w:b/>
          <w:bCs/>
          <w:color w:val="000000"/>
          <w:sz w:val="22"/>
          <w:szCs w:val="22"/>
          <w:lang w:val="ru-RU"/>
        </w:rPr>
        <w:t>ИОСИНДИО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)</w:t>
      </w:r>
      <w:r w:rsidRPr="004024C3">
        <w:rPr>
          <w:rFonts w:asciiTheme="minorBidi" w:hAnsiTheme="minorBidi" w:cstheme="minorBidi"/>
          <w:color w:val="000000"/>
          <w:sz w:val="22"/>
          <w:szCs w:val="22"/>
        </w:rPr>
        <w:t> 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будет привлекать правительства стран региона и глобальные и региональные сообщества ученых к устойчивому управлению пространствами и ресурсами Индийского океана. Он будет опираться на деятельность существующих и активно действующих в регионе программ и структур, связанных с МОК, включая, в частности, вторую Международную экспедицию в Индийском океане (МЭИО-2), региональные компоненты ГСНО и работу сообществ, занимающихся устойчивым управлением морскими экосистемами Индийского океана. Такой альянс должен быть способен учитывать региональные особенности, такие как преобладание муссонов, диполь Индийского океана, осцилляции Маддена-Джулиана, сильные апвеллинги. Он будет популяризировать преимущества морского пространственного планирования и управления прибрежными зонами для целенаправленного решения проблем развития прибрежных районов и смягчения их уязвимости с учетом воздействия глобальных изменений на океан. ИОСИНДИО будет координировать свою программу </w:t>
      </w:r>
      <w:sdt>
        <w:sdtPr>
          <w:rPr>
            <w:rFonts w:asciiTheme="minorBidi" w:hAnsiTheme="minorBidi" w:cstheme="minorBidi"/>
            <w:sz w:val="22"/>
            <w:szCs w:val="22"/>
          </w:rPr>
          <w:tag w:val="goog_rdk_59"/>
          <w:id w:val="795927949"/>
        </w:sdtPr>
        <w:sdtEndPr/>
        <w:sdtContent/>
      </w:sdt>
      <w:sdt>
        <w:sdtPr>
          <w:rPr>
            <w:rFonts w:asciiTheme="minorBidi" w:hAnsiTheme="minorBidi" w:cstheme="minorBidi"/>
            <w:sz w:val="22"/>
            <w:szCs w:val="22"/>
          </w:rPr>
          <w:tag w:val="goog_rdk_60"/>
          <w:id w:val="795927950"/>
        </w:sdtPr>
        <w:sdtEndPr/>
        <w:sdtContent/>
      </w:sdt>
      <w:sdt>
        <w:sdtPr>
          <w:rPr>
            <w:rFonts w:asciiTheme="minorBidi" w:hAnsiTheme="minorBidi" w:cstheme="minorBidi"/>
            <w:sz w:val="22"/>
            <w:szCs w:val="22"/>
          </w:rPr>
          <w:tag w:val="goog_rdk_61"/>
          <w:id w:val="795927951"/>
        </w:sdtPr>
        <w:sdtEndPr/>
        <w:sdtContent/>
      </w:sdt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и сотрудничать с МОКАФРИКА и ВЕСТПАК, а также укреплять сотрудничество с региональными институтами в </w:t>
      </w:r>
      <w:r w:rsidRPr="009D760D">
        <w:rPr>
          <w:rFonts w:asciiTheme="minorBidi" w:hAnsiTheme="minorBidi" w:cstheme="minorBidi"/>
          <w:color w:val="000000"/>
          <w:sz w:val="22"/>
          <w:szCs w:val="22"/>
          <w:lang w:val="ru-RU"/>
        </w:rPr>
        <w:t>Индийском океане</w:t>
      </w:r>
      <w:r w:rsidR="009D760D" w:rsidRPr="009D760D">
        <w:rPr>
          <w:rFonts w:asciiTheme="minorBidi" w:hAnsiTheme="minorBidi" w:cstheme="minorBidi"/>
          <w:color w:val="000000"/>
          <w:sz w:val="22"/>
          <w:szCs w:val="22"/>
          <w:lang w:val="ru-RU"/>
        </w:rPr>
        <w:t>.</w:t>
      </w:r>
      <w:r w:rsidRPr="009D760D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 Регион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 будет продолжать наращивать потенциал своих государств-членов с помощью глобальных структур МОК, таких как центры Глобальной академии «Океан-Инструктор» и два действующих центра под эгидой ЮНЕСКО (категории 2). Успешное укрепление и расширение деятельности ИОСИНДИО будет направлено на достижение уровня активности, позитивного влияния и роли в управлении океаном, сопоставимых с подкомиссией МОК, что должно привести к его преобразованию в подкомиссию </w:t>
      </w:r>
      <w:r w:rsidRPr="004024C3">
        <w:rPr>
          <w:rFonts w:asciiTheme="minorBidi" w:hAnsiTheme="minorBidi" w:cstheme="minorBidi"/>
          <w:color w:val="000000"/>
          <w:sz w:val="22"/>
          <w:szCs w:val="22"/>
        </w:rPr>
        <w:t xml:space="preserve">МОК. </w:t>
      </w:r>
    </w:p>
    <w:p w14:paraId="69A55470" w14:textId="77777777" w:rsidR="004024C3" w:rsidRPr="004024C3" w:rsidRDefault="004024C3" w:rsidP="004024C3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spacing w:after="160" w:line="259" w:lineRule="auto"/>
        <w:rPr>
          <w:rFonts w:asciiTheme="minorBidi" w:hAnsiTheme="minorBidi" w:cstheme="minorBidi"/>
          <w:b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b/>
          <w:bCs/>
          <w:color w:val="000000"/>
          <w:sz w:val="22"/>
          <w:szCs w:val="22"/>
          <w:lang w:val="ru-RU"/>
        </w:rPr>
        <w:t>ВЗАИМОДЕЙСТВИЕ С КЛЮЧЕВЫМИ ПАРТНЕРАМИ И ЗАИНТЕРЕСОВАННЫМИ СТОРОНАМИ</w:t>
      </w:r>
    </w:p>
    <w:p w14:paraId="06A5343E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МОК была создана как орган с функциональной автономией в рамках ЮНЕСКО. Комиссия определяет и осуществляет свою программу в соответствии с заявленными целями и функциями, с учетом бюджетных рамок, принятых ее Ассамблеей, и бюджетного пакета, согласованного Генеральной конференцией ЮНЕСКО. В соответствии со своим Уставом «Комиссия сотрудничает с международными организациями, 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lastRenderedPageBreak/>
        <w:t>заинтересованными в ее работе, и особенно с теми организациями системы Организации Объединенных Наций, которые стремятся и готовы содействовать реализации цели и функций Комиссии и/или консультироваться и сотрудничать с ней в отношении научных исследований, соответствующих служб и укрепления потенциала в том, что касается океана и прибрежных районов».</w:t>
      </w:r>
      <w:r w:rsidRPr="004024C3">
        <w:rPr>
          <w:rFonts w:asciiTheme="minorBidi" w:hAnsiTheme="minorBidi" w:cstheme="minorBidi"/>
          <w:color w:val="000000"/>
          <w:sz w:val="22"/>
          <w:szCs w:val="22"/>
          <w:vertAlign w:val="superscript"/>
        </w:rPr>
        <w:footnoteReference w:id="2"/>
      </w:r>
    </w:p>
    <w:p w14:paraId="0AD1E30D" w14:textId="77777777" w:rsidR="004024C3" w:rsidRPr="004024C3" w:rsidRDefault="004024C3" w:rsidP="004024C3">
      <w:pPr>
        <w:keepNext/>
        <w:spacing w:after="240"/>
        <w:rPr>
          <w:rFonts w:asciiTheme="minorBidi" w:hAnsiTheme="minorBidi" w:cstheme="minorBidi"/>
          <w:b/>
          <w:color w:val="0070C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b/>
          <w:bCs/>
          <w:color w:val="0070C0"/>
          <w:sz w:val="22"/>
          <w:szCs w:val="22"/>
          <w:lang w:val="ru-RU"/>
        </w:rPr>
        <w:t xml:space="preserve">МОК В РАМКАХ ЮНЕСКО, СИСТЕМЫ ООН И ЗА ЕЕ ПРЕДЕЛАМИ </w:t>
      </w:r>
    </w:p>
    <w:p w14:paraId="310029DD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В рамках ЮНЕСКО МОК будет продолжать сотрудничать со многими программами ЮНЕСКО и представительствами на местах и максимально использовать сравнительные преимущества многодисциплинарного подхода ЮНЕСКО к ключевым проблемам общества. МОК будет сотрудничать с </w:t>
      </w:r>
      <w:sdt>
        <w:sdtPr>
          <w:rPr>
            <w:rFonts w:asciiTheme="minorBidi" w:hAnsiTheme="minorBidi" w:cstheme="minorBidi"/>
            <w:sz w:val="22"/>
            <w:szCs w:val="22"/>
          </w:rPr>
          <w:tag w:val="goog_rdk_37"/>
          <w:id w:val="299886293"/>
        </w:sdtPr>
        <w:sdtEndPr/>
        <w:sdtContent/>
      </w:sdt>
      <w:sdt>
        <w:sdtPr>
          <w:rPr>
            <w:rFonts w:asciiTheme="minorBidi" w:hAnsiTheme="minorBidi" w:cstheme="minorBidi"/>
            <w:sz w:val="22"/>
            <w:szCs w:val="22"/>
          </w:rPr>
          <w:tag w:val="goog_rdk_38"/>
          <w:id w:val="-572121470"/>
        </w:sdtPr>
        <w:sdtEndPr/>
        <w:sdtContent/>
      </w:sdt>
      <w:sdt>
        <w:sdtPr>
          <w:rPr>
            <w:rFonts w:asciiTheme="minorBidi" w:hAnsiTheme="minorBidi" w:cstheme="minorBidi"/>
            <w:sz w:val="22"/>
            <w:szCs w:val="22"/>
          </w:rPr>
          <w:tag w:val="goog_rdk_39"/>
          <w:id w:val="-1317489112"/>
        </w:sdtPr>
        <w:sdtEndPr/>
        <w:sdtContent/>
      </w:sdt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несколькими программами ЮНЕСКО, внося свой весомый вклад в Десятилетие ООН, посвященное науке об океане в интересах устойчивого развития. Это касается морской программы Центра всемирного наследия, ведущей роли Сектора образования в реализации ЦУР 4 «Образование в интересах устойчивого развития», Конвенции об охране подводного культурного наследия, а также приоритетных областей Сектора науки </w:t>
      </w:r>
      <w:r w:rsidR="00647A84">
        <w:rPr>
          <w:rFonts w:asciiTheme="minorBidi" w:hAnsiTheme="minorBidi" w:cstheme="minorBidi"/>
          <w:color w:val="000000"/>
          <w:sz w:val="22"/>
          <w:szCs w:val="22"/>
          <w:lang w:val="ru-RU"/>
        </w:rPr>
        <w:t>–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 МОСРГ и знания коренных народов, программы «Человек и биосфера», Межправительственной гидрологической программы и программ по обеспечению готовности к стихийным бедствиям и управлению рисками. МОК продолжит действовать в рамках Целевой группы по изменению климата </w:t>
      </w:r>
      <w:r w:rsidR="00647A84">
        <w:rPr>
          <w:rFonts w:asciiTheme="minorBidi" w:hAnsiTheme="minorBidi" w:cstheme="minorBidi"/>
          <w:color w:val="000000"/>
          <w:sz w:val="22"/>
          <w:szCs w:val="22"/>
          <w:lang w:val="ru-RU"/>
        </w:rPr>
        <w:t>–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 консультативного форума, объединяющего более 30 программ в сферах науки, образования, культуры и коммуникации.</w:t>
      </w:r>
    </w:p>
    <w:p w14:paraId="6E52C957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МОК играет признанную роль в системе ООН в соответствии со своим Уставом. Как компетентная международная организация в области морских научных исследований и ПМТ, МОК вносит свой вклад в различные процессы ЮНКЛОС, </w:t>
      </w:r>
      <w:sdt>
        <w:sdtPr>
          <w:rPr>
            <w:rFonts w:asciiTheme="minorBidi" w:hAnsiTheme="minorBidi" w:cstheme="minorBidi"/>
            <w:sz w:val="22"/>
            <w:szCs w:val="22"/>
          </w:rPr>
          <w:tag w:val="goog_rdk_35"/>
          <w:id w:val="467098850"/>
        </w:sdtPr>
        <w:sdtEndPr/>
        <w:sdtContent/>
      </w:sdt>
      <w:sdt>
        <w:sdtPr>
          <w:rPr>
            <w:rFonts w:asciiTheme="minorBidi" w:hAnsiTheme="minorBidi" w:cstheme="minorBidi"/>
            <w:sz w:val="22"/>
            <w:szCs w:val="22"/>
          </w:rPr>
          <w:tag w:val="goog_rdk_36"/>
          <w:id w:val="-1685041391"/>
        </w:sdtPr>
        <w:sdtEndPr/>
        <w:sdtContent/>
      </w:sdt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в том числе в разрабатываемый международный юридически обязательный документ по сохранению и устойчивому использованию морского биологического разнообразия в районах за пределами действия национальной юрисдикции. МОК продолжит сотрудничество на программном уровне и/или через спонсорство совместных программ со многими учреждениями ООН, включая ФАО, МАГАТЭ, ИМО, МОМД, МСЭ, ПРООН, ЭСКАТО, ЮНЕП (включая КБР), ВОЗ и ВМО. </w:t>
      </w:r>
    </w:p>
    <w:p w14:paraId="79030870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МОК продолжит вносить вклад в основные глобальные соглашения и рамочные программы ООН, включая: Повестку дня ООН на период до 2030 г. и ее Цели устойчивого развития (ЦУР), в частности отдельно в цель 14, касающуюся океана, выступая также в качестве учреждения ООН, ответственного за отчетность по достижению ЦУР</w:t>
      </w:r>
      <w:r w:rsidR="00647A84">
        <w:rPr>
          <w:rFonts w:asciiTheme="minorBidi" w:hAnsiTheme="minorBidi" w:cstheme="minorBidi"/>
          <w:color w:val="000000"/>
          <w:sz w:val="22"/>
          <w:szCs w:val="22"/>
          <w:lang w:val="ru-RU"/>
        </w:rPr>
        <w:t> 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14.3 и 14.</w:t>
      </w:r>
      <w:r w:rsidRPr="004024C3">
        <w:rPr>
          <w:rFonts w:asciiTheme="minorBidi" w:hAnsiTheme="minorBidi" w:cstheme="minorBidi"/>
          <w:color w:val="000000"/>
          <w:sz w:val="22"/>
          <w:szCs w:val="22"/>
        </w:rPr>
        <w:t>a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; Парижское соглашение РКИКООН, выступая за расширение роли океана; Сендайскую рамочную программу по снижению риска бедствий</w:t>
      </w:r>
      <w:sdt>
        <w:sdtPr>
          <w:rPr>
            <w:rFonts w:asciiTheme="minorBidi" w:hAnsiTheme="minorBidi" w:cstheme="minorBidi"/>
            <w:sz w:val="22"/>
            <w:szCs w:val="22"/>
          </w:rPr>
          <w:tag w:val="goog_rdk_40"/>
          <w:id w:val="445820029"/>
        </w:sdtPr>
        <w:sdtEndPr/>
        <w:sdtContent/>
      </w:sdt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 Конвенцию о биологическом разнообразии и «Путь САМОА». </w:t>
      </w:r>
    </w:p>
    <w:p w14:paraId="04679805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МОК как основной орган ООН, связанный с науками об океане, продолжит вносить свой вклад в работу механизма межведомственного сотрудничества ООН по вопросам океана и прибрежных районов «ООН-океаны», сосредоточившись, в </w:t>
      </w:r>
      <w:r w:rsidRPr="004024C3">
        <w:rPr>
          <w:rFonts w:asciiTheme="minorBidi" w:hAnsiTheme="minorBidi" w:cstheme="minorBidi"/>
          <w:i/>
          <w:iCs/>
          <w:color w:val="000000"/>
          <w:sz w:val="22"/>
          <w:szCs w:val="22"/>
          <w:lang w:val="ru-RU"/>
        </w:rPr>
        <w:t>частности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, на разработке «мероприятий, способствующих достижению </w:t>
      </w:r>
      <w:r w:rsidRPr="004024C3">
        <w:rPr>
          <w:rFonts w:asciiTheme="minorBidi" w:hAnsiTheme="minorBidi" w:cstheme="minorBidi"/>
          <w:color w:val="000000"/>
          <w:sz w:val="22"/>
          <w:szCs w:val="22"/>
        </w:rPr>
        <w:t xml:space="preserve">ЦУР». </w:t>
      </w:r>
    </w:p>
    <w:p w14:paraId="153F9784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Будут опробованы новые формы сотрудничества и, возможно, созданы более прочные официальные связи МОК с другими организациями системы ООН на основе понимания того, что наука об океане представляет собой сквозную, основополагающую необходимость для выполнения задач, стоящих перед учреждениями ООН. Такие соглашения о сотрудничестве будут особенно перспективными для успешного проведения Десятилетия. Возросшая роль наук об океане в деле оказания помощи государствам-членам в достижении целей устойчивого развития, выполнении международных соглашений и решении национальных приоритетных задач может потребовать усиления </w:t>
      </w: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lastRenderedPageBreak/>
        <w:t xml:space="preserve">координации между учреждениями ООН и пересмотра роли МОК и ее позиции </w:t>
      </w:r>
      <w:sdt>
        <w:sdtPr>
          <w:rPr>
            <w:rFonts w:asciiTheme="minorBidi" w:hAnsiTheme="minorBidi" w:cstheme="minorBidi"/>
            <w:sz w:val="22"/>
            <w:szCs w:val="22"/>
          </w:rPr>
          <w:tag w:val="goog_rdk_41"/>
          <w:id w:val="-1810004211"/>
        </w:sdtPr>
        <w:sdtEndPr/>
        <w:sdtContent/>
      </w:sdt>
      <w:sdt>
        <w:sdtPr>
          <w:rPr>
            <w:rFonts w:asciiTheme="minorBidi" w:hAnsiTheme="minorBidi" w:cstheme="minorBidi"/>
            <w:sz w:val="22"/>
            <w:szCs w:val="22"/>
          </w:rPr>
          <w:tag w:val="goog_rdk_42"/>
          <w:id w:val="1378048493"/>
        </w:sdtPr>
        <w:sdtEndPr/>
        <w:sdtContent/>
      </w:sdt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в системе ООН</w:t>
      </w:r>
      <w:r w:rsidRPr="004024C3">
        <w:rPr>
          <w:rFonts w:asciiTheme="minorBidi" w:hAnsiTheme="minorBidi" w:cstheme="minorBidi"/>
          <w:color w:val="000000"/>
          <w:sz w:val="22"/>
          <w:szCs w:val="22"/>
          <w:vertAlign w:val="superscript"/>
        </w:rPr>
        <w:footnoteReference w:id="3"/>
      </w:r>
      <w:r w:rsidR="00647A84">
        <w:rPr>
          <w:rFonts w:asciiTheme="minorBidi" w:hAnsiTheme="minorBidi" w:cstheme="minorBidi"/>
          <w:color w:val="000000"/>
          <w:sz w:val="22"/>
          <w:szCs w:val="22"/>
          <w:lang w:val="ru-RU"/>
        </w:rPr>
        <w:t>.</w:t>
      </w:r>
    </w:p>
    <w:p w14:paraId="43A4500F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Помимо выполнения своей роли в системе ООН, МОК также поддерживает тесное сотрудничество с большим числом глобальных и региональных, межправительственных и неправительственных организаций, не входящих в систему ООН, таких как ГИФБ, ГЕО, МГО, МСИМ, СТОМН, МСН и его СКОР, а также МСОП. Через свои глобальные программы и региональные вспомогательные органы МОК будет также развивать партнерство с региональными организациями по управлению океанами, такими как конвенции ЮНЕП по региональным морям, региональные рыбохозяйственные организации и комиссии по КМЭ.  </w:t>
      </w:r>
    </w:p>
    <w:p w14:paraId="11A036A1" w14:textId="77777777" w:rsidR="004024C3" w:rsidRPr="004024C3" w:rsidRDefault="004024C3" w:rsidP="004024C3">
      <w:pPr>
        <w:keepNext/>
        <w:spacing w:after="240"/>
        <w:rPr>
          <w:rFonts w:asciiTheme="minorBidi" w:hAnsiTheme="minorBidi" w:cstheme="minorBidi"/>
          <w:b/>
          <w:color w:val="0070C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b/>
          <w:bCs/>
          <w:color w:val="0070C0"/>
          <w:sz w:val="22"/>
          <w:szCs w:val="22"/>
          <w:lang w:val="ru-RU"/>
        </w:rPr>
        <w:t>РАСШИРЕНИЕ ПАРТНЕРСКИХ ОТНОШЕНИЙ И МОБИЛИЗАЦИЯ РЕСУРСОВ</w:t>
      </w:r>
    </w:p>
    <w:p w14:paraId="4A5C7689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>Способность МОК осуществлять эту Среднесрочную стратегию и обеспечивать авторитетную платформу для научно обоснованного устойчивого управления океаном потребует значительных людских и финансовых ресурсов, направляемых во все основные программы МОК и региональные вспомогательные органы. Сохранение способности программ и регионов МОК выполнять приоритеты, утвержденные руководящими органами МОК, обязательно потребует повышения уровня внебюджетного финансирования, особенно в периоды финансовых трудностей. МОК будет работать над развитием новых партнерских связей с государственным и частным секторами и активизировать мобилизацию ресурсов от государств-членов, институциональных партнеров и частного сектора. Десятилетие ООН, посвященное науке об океане в интересах устойчивого развития, предоставляет беспрецедентную возможность расширить партнерскую базу МОК и увеличить сбор средств.</w:t>
      </w:r>
    </w:p>
    <w:p w14:paraId="583C3A83" w14:textId="77777777" w:rsidR="004024C3" w:rsidRPr="004024C3" w:rsidRDefault="004024C3" w:rsidP="004024C3">
      <w:pPr>
        <w:keepNext/>
        <w:spacing w:after="240"/>
        <w:rPr>
          <w:rFonts w:asciiTheme="minorBidi" w:hAnsiTheme="minorBidi" w:cstheme="minorBidi"/>
          <w:b/>
          <w:color w:val="0070C0"/>
          <w:sz w:val="22"/>
          <w:szCs w:val="22"/>
        </w:rPr>
      </w:pPr>
      <w:r w:rsidRPr="004024C3">
        <w:rPr>
          <w:rFonts w:asciiTheme="minorBidi" w:hAnsiTheme="minorBidi" w:cstheme="minorBidi"/>
          <w:b/>
          <w:bCs/>
          <w:color w:val="0070C0"/>
          <w:sz w:val="22"/>
          <w:szCs w:val="22"/>
        </w:rPr>
        <w:t>ИНФОРМАЦИОННО-ПРОПАГАНДИСТСКАЯ ДЕЯТЕЛЬНОСТЬ И НАГЛЯДНОСТЬ</w:t>
      </w:r>
    </w:p>
    <w:p w14:paraId="199D9E24" w14:textId="77777777" w:rsidR="004024C3" w:rsidRPr="004024C3" w:rsidRDefault="004024C3" w:rsidP="004024C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  <w:tab w:val="left" w:pos="709"/>
        </w:tabs>
        <w:spacing w:after="240"/>
        <w:ind w:left="0" w:firstLine="0"/>
        <w:jc w:val="both"/>
        <w:textAlignment w:val="baseline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4024C3">
        <w:rPr>
          <w:rFonts w:asciiTheme="minorBidi" w:hAnsiTheme="minorBidi" w:cstheme="minorBidi"/>
          <w:color w:val="000000"/>
          <w:sz w:val="22"/>
          <w:szCs w:val="22"/>
          <w:lang w:val="ru-RU"/>
        </w:rPr>
        <w:t xml:space="preserve">МОК обеспечивает научную основу для устойчивого использования океана и при этом приносит пользу многочисленным «конечным пользователям». Однако ценность фундаментальных услуг МОК, предоставляемых на верхнем уровне, не очевидна для бенефициаров, таких как лица, принимающие решения, спонсоры и широкая общественность. Для этого необходимо вести специальную, активную и хорошо нацеленную информационно-пропагандистскую деятельность. МОК необходимо будет реализовать эффективную и адаптированную стратегию информационно-пропагандистской деятельности, позволяющую ей в полной мере и достаточно убедительно продемонстрировать положительное воздействие своей работы на общество и привлечь новую внебюджетную поддержку. Она также будет поддерживать и совершенствовать эффективный и привлекательный сайт и активно присутствовать в сети.  </w:t>
      </w:r>
    </w:p>
    <w:p w14:paraId="4EC889CB" w14:textId="77777777" w:rsidR="004024C3" w:rsidRPr="004024C3" w:rsidRDefault="004024C3" w:rsidP="004024C3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7E5B0BDB" w14:textId="77777777" w:rsidR="004024C3" w:rsidRPr="004024C3" w:rsidRDefault="004024C3" w:rsidP="004024C3">
      <w:pPr>
        <w:rPr>
          <w:rFonts w:asciiTheme="minorBidi" w:hAnsiTheme="minorBidi" w:cstheme="minorBidi"/>
          <w:sz w:val="22"/>
          <w:szCs w:val="22"/>
          <w:lang w:val="ru-RU"/>
        </w:rPr>
      </w:pPr>
    </w:p>
    <w:p w14:paraId="05E2CBF8" w14:textId="77777777" w:rsidR="00A87A45" w:rsidRPr="004024C3" w:rsidRDefault="00A87A45" w:rsidP="004024C3">
      <w:pPr>
        <w:spacing w:after="240"/>
        <w:rPr>
          <w:rFonts w:asciiTheme="minorBidi" w:eastAsiaTheme="minorHAnsi" w:hAnsiTheme="minorBidi" w:cstheme="minorBidi"/>
          <w:b/>
          <w:bCs/>
          <w:snapToGrid/>
          <w:sz w:val="22"/>
          <w:szCs w:val="22"/>
          <w:highlight w:val="lightGray"/>
          <w:lang w:val="ru-RU"/>
        </w:rPr>
      </w:pPr>
    </w:p>
    <w:sectPr w:rsidR="00A87A45" w:rsidRPr="004024C3" w:rsidSect="000E2E3A">
      <w:headerReference w:type="even" r:id="rId26"/>
      <w:headerReference w:type="default" r:id="rId27"/>
      <w:headerReference w:type="first" r:id="rId28"/>
      <w:pgSz w:w="11907" w:h="16840" w:code="9"/>
      <w:pgMar w:top="1134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CD343" w14:textId="77777777" w:rsidR="00B606F2" w:rsidRDefault="00B606F2" w:rsidP="006D0597">
      <w:r>
        <w:separator/>
      </w:r>
    </w:p>
  </w:endnote>
  <w:endnote w:type="continuationSeparator" w:id="0">
    <w:p w14:paraId="4B1A4D3C" w14:textId="77777777" w:rsidR="00B606F2" w:rsidRDefault="00B606F2" w:rsidP="006D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08AE4" w14:textId="77777777" w:rsidR="00B606F2" w:rsidRDefault="00B606F2" w:rsidP="006D0597">
      <w:r>
        <w:separator/>
      </w:r>
    </w:p>
  </w:footnote>
  <w:footnote w:type="continuationSeparator" w:id="0">
    <w:p w14:paraId="27A0FF7B" w14:textId="77777777" w:rsidR="00B606F2" w:rsidRDefault="00B606F2" w:rsidP="006D0597">
      <w:r>
        <w:continuationSeparator/>
      </w:r>
    </w:p>
  </w:footnote>
  <w:footnote w:id="1">
    <w:p w14:paraId="3995C976" w14:textId="77777777" w:rsidR="00CE6146" w:rsidRPr="00647A84" w:rsidRDefault="00CE6146" w:rsidP="004024C3">
      <w:pPr>
        <w:pStyle w:val="FootnoteText"/>
        <w:spacing w:line="240" w:lineRule="auto"/>
        <w:rPr>
          <w:sz w:val="20"/>
          <w:szCs w:val="20"/>
          <w:lang w:val="ru-RU"/>
        </w:rPr>
      </w:pPr>
      <w:r w:rsidRPr="00647A84">
        <w:rPr>
          <w:rStyle w:val="FootnoteReference"/>
          <w:sz w:val="20"/>
          <w:szCs w:val="20"/>
        </w:rPr>
        <w:footnoteRef/>
      </w:r>
      <w:r w:rsidRPr="00647A84">
        <w:rPr>
          <w:sz w:val="20"/>
          <w:szCs w:val="20"/>
          <w:lang w:val="ru-RU"/>
        </w:rPr>
        <w:t xml:space="preserve"> </w:t>
      </w:r>
      <w:r w:rsidRPr="00647A84">
        <w:rPr>
          <w:sz w:val="20"/>
          <w:szCs w:val="20"/>
          <w:lang w:val="ru-RU"/>
        </w:rPr>
        <w:tab/>
        <w:t>Цель 14.</w:t>
      </w:r>
      <w:r w:rsidRPr="00647A84">
        <w:rPr>
          <w:sz w:val="20"/>
          <w:szCs w:val="20"/>
        </w:rPr>
        <w:t>a</w:t>
      </w:r>
      <w:r w:rsidRPr="00647A84">
        <w:rPr>
          <w:sz w:val="20"/>
          <w:szCs w:val="20"/>
          <w:lang w:val="ru-RU"/>
        </w:rPr>
        <w:t xml:space="preserve">: </w:t>
      </w:r>
      <w:r w:rsidRPr="00647A84">
        <w:rPr>
          <w:color w:val="000000"/>
          <w:sz w:val="20"/>
          <w:szCs w:val="20"/>
          <w:lang w:val="ru-RU"/>
        </w:rPr>
        <w:t xml:space="preserve">«Увеличить объем научных знаний, расширить научные исследования и обеспечить передачу морских технологий, принимая во внимание </w:t>
      </w:r>
      <w:r w:rsidRPr="00647A84">
        <w:rPr>
          <w:i/>
          <w:iCs/>
          <w:color w:val="000000"/>
          <w:sz w:val="20"/>
          <w:szCs w:val="20"/>
          <w:lang w:val="ru-RU"/>
        </w:rPr>
        <w:t>Критерии и руководящие принципы в отношении передачи морской технологии</w:t>
      </w:r>
      <w:r w:rsidRPr="00647A84">
        <w:rPr>
          <w:color w:val="000000"/>
          <w:sz w:val="20"/>
          <w:szCs w:val="20"/>
          <w:lang w:val="ru-RU"/>
        </w:rPr>
        <w:t>, разработанные Межправительственной океанографической комиссией, с тем чтобы улучшить экологическое состояние океанской среды и повысить вклад морского биоразнообразия в развитие развивающихся стран, особенно малых островных развивающихся государств»</w:t>
      </w:r>
      <w:r w:rsidR="00647A84">
        <w:rPr>
          <w:color w:val="000000"/>
          <w:sz w:val="20"/>
          <w:szCs w:val="20"/>
          <w:lang w:val="ru-RU"/>
        </w:rPr>
        <w:t>.</w:t>
      </w:r>
    </w:p>
  </w:footnote>
  <w:footnote w:id="2">
    <w:p w14:paraId="425E80E5" w14:textId="77777777" w:rsidR="00CE6146" w:rsidRPr="00647A84" w:rsidRDefault="00CE6146" w:rsidP="004024C3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color w:val="000000"/>
          <w:sz w:val="20"/>
          <w:szCs w:val="20"/>
          <w:lang w:val="ru-RU"/>
        </w:rPr>
      </w:pPr>
      <w:r w:rsidRPr="00647A84">
        <w:rPr>
          <w:rStyle w:val="FootnoteReference"/>
          <w:rFonts w:asciiTheme="minorBidi" w:hAnsiTheme="minorBidi" w:cstheme="minorBidi"/>
          <w:sz w:val="20"/>
          <w:szCs w:val="20"/>
        </w:rPr>
        <w:footnoteRef/>
      </w:r>
      <w:r w:rsidRPr="00647A84">
        <w:rPr>
          <w:rFonts w:asciiTheme="minorBidi" w:hAnsiTheme="minorBidi" w:cstheme="minorBidi"/>
          <w:color w:val="000000"/>
          <w:sz w:val="20"/>
          <w:szCs w:val="20"/>
          <w:lang w:val="ru-RU"/>
        </w:rPr>
        <w:tab/>
        <w:t>Статья 2.2 Устава МОК</w:t>
      </w:r>
      <w:r w:rsidR="00647A84">
        <w:rPr>
          <w:rFonts w:asciiTheme="minorBidi" w:hAnsiTheme="minorBidi" w:cstheme="minorBidi"/>
          <w:color w:val="000000"/>
          <w:sz w:val="20"/>
          <w:szCs w:val="20"/>
          <w:lang w:val="ru-RU"/>
        </w:rPr>
        <w:t>.</w:t>
      </w:r>
    </w:p>
  </w:footnote>
  <w:footnote w:id="3">
    <w:p w14:paraId="3E83A08A" w14:textId="77777777" w:rsidR="00CE6146" w:rsidRPr="00647A84" w:rsidRDefault="00CE6146" w:rsidP="004024C3">
      <w:pPr>
        <w:spacing w:after="240"/>
        <w:ind w:left="567" w:hanging="567"/>
        <w:rPr>
          <w:rFonts w:asciiTheme="minorBidi" w:hAnsiTheme="minorBidi" w:cstheme="minorBidi"/>
          <w:sz w:val="20"/>
          <w:szCs w:val="20"/>
          <w:highlight w:val="lightGray"/>
          <w:lang w:val="ru-RU"/>
        </w:rPr>
      </w:pPr>
      <w:r w:rsidRPr="00647A84">
        <w:rPr>
          <w:rStyle w:val="FootnoteReference"/>
          <w:rFonts w:asciiTheme="minorBidi" w:hAnsiTheme="minorBidi" w:cstheme="minorBidi"/>
          <w:sz w:val="20"/>
          <w:szCs w:val="20"/>
        </w:rPr>
        <w:footnoteRef/>
      </w:r>
      <w:r w:rsidRPr="00647A84">
        <w:rPr>
          <w:rFonts w:asciiTheme="minorBidi" w:hAnsiTheme="minorBidi" w:cstheme="minorBidi"/>
          <w:sz w:val="20"/>
          <w:szCs w:val="20"/>
          <w:lang w:val="ru-RU"/>
        </w:rPr>
        <w:t xml:space="preserve"> </w:t>
      </w:r>
      <w:r w:rsidRPr="00647A84">
        <w:rPr>
          <w:rFonts w:asciiTheme="minorBidi" w:hAnsiTheme="minorBidi" w:cstheme="minorBidi"/>
          <w:sz w:val="20"/>
          <w:szCs w:val="20"/>
          <w:lang w:val="ru-RU"/>
        </w:rPr>
        <w:tab/>
        <w:t>Статья 11.3 Устава МОК.</w:t>
      </w:r>
    </w:p>
    <w:p w14:paraId="5AB2B5AF" w14:textId="77777777" w:rsidR="00CE6146" w:rsidRPr="00D7600F" w:rsidRDefault="00CE6146" w:rsidP="004024C3">
      <w:pPr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  <w:sz w:val="20"/>
          <w:szCs w:val="20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2A047" w14:textId="77777777" w:rsidR="00CE6146" w:rsidRPr="0094234F" w:rsidRDefault="00CE6146" w:rsidP="00BD24DB">
    <w:pPr>
      <w:pStyle w:val="Header"/>
      <w:spacing w:after="240"/>
      <w:rPr>
        <w:rFonts w:asciiTheme="minorBidi" w:hAnsiTheme="minorBidi" w:cstheme="minorBidi"/>
        <w:sz w:val="22"/>
        <w:szCs w:val="22"/>
      </w:rPr>
    </w:pPr>
    <w:r w:rsidRPr="0094234F">
      <w:rPr>
        <w:rFonts w:asciiTheme="minorBidi" w:hAnsiTheme="minorBidi" w:cstheme="minorBidi"/>
        <w:sz w:val="22"/>
        <w:szCs w:val="22"/>
      </w:rPr>
      <w:t>IOC-31/DR.[4.4]</w:t>
    </w:r>
    <w:r>
      <w:rPr>
        <w:rFonts w:asciiTheme="minorBidi" w:hAnsiTheme="minorBidi" w:cstheme="minorBidi"/>
        <w:sz w:val="22"/>
        <w:szCs w:val="22"/>
        <w:lang w:val="ru-RU"/>
      </w:rPr>
      <w:t xml:space="preserve"> – </w:t>
    </w:r>
    <w:r>
      <w:rPr>
        <w:rFonts w:asciiTheme="minorBidi" w:hAnsiTheme="minorBidi" w:cstheme="minorBidi"/>
        <w:sz w:val="22"/>
        <w:szCs w:val="22"/>
        <w:lang w:val="en-US"/>
      </w:rPr>
      <w:t>p</w:t>
    </w:r>
    <w:r>
      <w:rPr>
        <w:rFonts w:asciiTheme="minorBidi" w:hAnsiTheme="minorBidi" w:cstheme="minorBidi"/>
        <w:sz w:val="22"/>
        <w:szCs w:val="22"/>
      </w:rPr>
      <w:t xml:space="preserve">age </w:t>
    </w:r>
    <w:r w:rsidR="00896E6E" w:rsidRPr="0094234F">
      <w:rPr>
        <w:rFonts w:asciiTheme="minorBidi" w:hAnsiTheme="minorBidi" w:cstheme="minorBidi"/>
        <w:sz w:val="22"/>
        <w:szCs w:val="22"/>
      </w:rPr>
      <w:fldChar w:fldCharType="begin"/>
    </w:r>
    <w:r w:rsidRPr="0094234F">
      <w:rPr>
        <w:rFonts w:asciiTheme="minorBidi" w:hAnsiTheme="minorBidi" w:cstheme="minorBidi"/>
        <w:sz w:val="22"/>
        <w:szCs w:val="22"/>
      </w:rPr>
      <w:instrText xml:space="preserve"> PAGE   \* MERGEFORMAT </w:instrText>
    </w:r>
    <w:r w:rsidR="00896E6E" w:rsidRPr="0094234F">
      <w:rPr>
        <w:rFonts w:asciiTheme="minorBidi" w:hAnsiTheme="minorBidi" w:cstheme="minorBidi"/>
        <w:sz w:val="22"/>
        <w:szCs w:val="22"/>
      </w:rPr>
      <w:fldChar w:fldCharType="separate"/>
    </w:r>
    <w:r w:rsidR="007338EA">
      <w:rPr>
        <w:rFonts w:asciiTheme="minorBidi" w:hAnsiTheme="minorBidi" w:cstheme="minorBidi"/>
        <w:noProof/>
        <w:sz w:val="22"/>
        <w:szCs w:val="22"/>
      </w:rPr>
      <w:t>18</w:t>
    </w:r>
    <w:r w:rsidR="00896E6E" w:rsidRPr="0094234F">
      <w:rPr>
        <w:rFonts w:asciiTheme="minorBidi" w:hAnsiTheme="minorBidi" w:cstheme="minorBidi"/>
        <w:noProof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E0DB2" w14:textId="77777777" w:rsidR="00CE6146" w:rsidRPr="00BD24DB" w:rsidRDefault="00CE6146" w:rsidP="00BD24DB">
    <w:pPr>
      <w:pStyle w:val="Header"/>
      <w:tabs>
        <w:tab w:val="clear" w:pos="8306"/>
      </w:tabs>
      <w:spacing w:after="240"/>
      <w:ind w:left="6379"/>
      <w:rPr>
        <w:rFonts w:asciiTheme="minorBidi" w:hAnsiTheme="minorBidi" w:cstheme="minorBidi"/>
        <w:sz w:val="22"/>
        <w:szCs w:val="22"/>
      </w:rPr>
    </w:pPr>
    <w:r w:rsidRPr="0094234F">
      <w:rPr>
        <w:rFonts w:asciiTheme="minorBidi" w:hAnsiTheme="minorBidi" w:cstheme="minorBidi"/>
        <w:sz w:val="22"/>
        <w:szCs w:val="22"/>
      </w:rPr>
      <w:t>IOC-31/DR.[4.4]</w:t>
    </w:r>
    <w:r>
      <w:rPr>
        <w:rFonts w:asciiTheme="minorBidi" w:hAnsiTheme="minorBidi" w:cstheme="minorBidi"/>
        <w:sz w:val="22"/>
        <w:szCs w:val="22"/>
      </w:rPr>
      <w:t xml:space="preserve"> – page </w:t>
    </w:r>
    <w:r w:rsidR="00896E6E" w:rsidRPr="0094234F">
      <w:rPr>
        <w:rFonts w:asciiTheme="minorBidi" w:hAnsiTheme="minorBidi" w:cstheme="minorBidi"/>
        <w:sz w:val="22"/>
        <w:szCs w:val="22"/>
      </w:rPr>
      <w:fldChar w:fldCharType="begin"/>
    </w:r>
    <w:r w:rsidRPr="0094234F">
      <w:rPr>
        <w:rFonts w:asciiTheme="minorBidi" w:hAnsiTheme="minorBidi" w:cstheme="minorBidi"/>
        <w:sz w:val="22"/>
        <w:szCs w:val="22"/>
      </w:rPr>
      <w:instrText xml:space="preserve"> PAGE   \* MERGEFORMAT </w:instrText>
    </w:r>
    <w:r w:rsidR="00896E6E" w:rsidRPr="0094234F">
      <w:rPr>
        <w:rFonts w:asciiTheme="minorBidi" w:hAnsiTheme="minorBidi" w:cstheme="minorBidi"/>
        <w:sz w:val="22"/>
        <w:szCs w:val="22"/>
      </w:rPr>
      <w:fldChar w:fldCharType="separate"/>
    </w:r>
    <w:r w:rsidR="007338EA">
      <w:rPr>
        <w:rFonts w:asciiTheme="minorBidi" w:hAnsiTheme="minorBidi" w:cstheme="minorBidi"/>
        <w:noProof/>
        <w:sz w:val="22"/>
        <w:szCs w:val="22"/>
      </w:rPr>
      <w:t>17</w:t>
    </w:r>
    <w:r w:rsidR="00896E6E" w:rsidRPr="0094234F">
      <w:rPr>
        <w:rFonts w:asciiTheme="minorBidi" w:hAnsiTheme="minorBidi" w:cstheme="minorBidi"/>
        <w:noProof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23835" w14:textId="77777777" w:rsidR="00CE6146" w:rsidRDefault="00CE6146" w:rsidP="00BD24DB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multilevel"/>
    <w:tmpl w:val="0DB4EF34"/>
    <w:lvl w:ilvl="0">
      <w:start w:val="1"/>
      <w:numFmt w:val="decimal"/>
      <w:pStyle w:val="Heading1"/>
      <w:lvlText w:val="%1."/>
      <w:lvlJc w:val="left"/>
      <w:pPr>
        <w:tabs>
          <w:tab w:val="num" w:pos="2989"/>
        </w:tabs>
        <w:ind w:left="2989" w:hanging="709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lvlRestart w:val="1"/>
      <w:lvlText w:val="%2.%1.%3"/>
      <w:lvlJc w:val="left"/>
      <w:pPr>
        <w:tabs>
          <w:tab w:val="num" w:pos="1419"/>
        </w:tabs>
        <w:ind w:left="1419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A4252B"/>
    <w:multiLevelType w:val="multilevel"/>
    <w:tmpl w:val="8F5C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>
      <w:start w:val="4"/>
      <w:numFmt w:val="upperRoman"/>
      <w:lvlText w:val="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6617EA"/>
    <w:multiLevelType w:val="multilevel"/>
    <w:tmpl w:val="625496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40B4842"/>
    <w:multiLevelType w:val="multilevel"/>
    <w:tmpl w:val="8370C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>
      <w:start w:val="1"/>
      <w:numFmt w:val="upperRoman"/>
      <w:lvlText w:val="%3."/>
      <w:lvlJc w:val="left"/>
      <w:pPr>
        <w:ind w:left="279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51969"/>
    <w:multiLevelType w:val="multilevel"/>
    <w:tmpl w:val="8D1E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>
      <w:start w:val="1"/>
      <w:numFmt w:val="upperRoman"/>
      <w:lvlText w:val="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E7022F6"/>
    <w:multiLevelType w:val="hybridMultilevel"/>
    <w:tmpl w:val="78D644C0"/>
    <w:lvl w:ilvl="0" w:tplc="AECAF18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4A43F8"/>
    <w:multiLevelType w:val="multilevel"/>
    <w:tmpl w:val="C9FE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9166BC"/>
    <w:multiLevelType w:val="hybridMultilevel"/>
    <w:tmpl w:val="D2BE6D6A"/>
    <w:lvl w:ilvl="0" w:tplc="1E1A5676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33398"/>
    <w:multiLevelType w:val="hybridMultilevel"/>
    <w:tmpl w:val="C5B4333E"/>
    <w:lvl w:ilvl="0" w:tplc="2D4ABB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/>
        <w:sz w:val="22"/>
        <w:szCs w:val="22"/>
        <w:lang w:val="en-US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166FA"/>
    <w:multiLevelType w:val="multilevel"/>
    <w:tmpl w:val="C216367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F0891"/>
    <w:multiLevelType w:val="multilevel"/>
    <w:tmpl w:val="8FB0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830008F"/>
    <w:multiLevelType w:val="hybridMultilevel"/>
    <w:tmpl w:val="2FDA2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C5931"/>
    <w:multiLevelType w:val="multilevel"/>
    <w:tmpl w:val="FC584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35D63"/>
    <w:multiLevelType w:val="hybridMultilevel"/>
    <w:tmpl w:val="97982706"/>
    <w:lvl w:ilvl="0" w:tplc="5388F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i/>
        <w:color w:val="000000"/>
        <w:sz w:val="22"/>
        <w:szCs w:val="22"/>
        <w:lang w:val="en-US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D7E7A"/>
    <w:multiLevelType w:val="hybridMultilevel"/>
    <w:tmpl w:val="6A68A52E"/>
    <w:lvl w:ilvl="0" w:tplc="30B02A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87F3C"/>
    <w:multiLevelType w:val="multilevel"/>
    <w:tmpl w:val="C9FE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F4769"/>
    <w:multiLevelType w:val="multilevel"/>
    <w:tmpl w:val="77882F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1A04F76"/>
    <w:multiLevelType w:val="multilevel"/>
    <w:tmpl w:val="C9FE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4F76DB"/>
    <w:multiLevelType w:val="multilevel"/>
    <w:tmpl w:val="F65EF9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C11E7"/>
    <w:multiLevelType w:val="multilevel"/>
    <w:tmpl w:val="C9FE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E257D6"/>
    <w:multiLevelType w:val="multilevel"/>
    <w:tmpl w:val="B6AE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2"/>
        </w:tabs>
        <w:ind w:left="1002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5C980B93"/>
    <w:multiLevelType w:val="multilevel"/>
    <w:tmpl w:val="9220404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3"/>
  </w:num>
  <w:num w:numId="5">
    <w:abstractNumId w:val="19"/>
  </w:num>
  <w:num w:numId="6">
    <w:abstractNumId w:val="15"/>
  </w:num>
  <w:num w:numId="7">
    <w:abstractNumId w:val="17"/>
  </w:num>
  <w:num w:numId="8">
    <w:abstractNumId w:val="5"/>
  </w:num>
  <w:num w:numId="9">
    <w:abstractNumId w:val="8"/>
  </w:num>
  <w:num w:numId="10">
    <w:abstractNumId w:val="4"/>
  </w:num>
  <w:num w:numId="11">
    <w:abstractNumId w:val="7"/>
  </w:num>
  <w:num w:numId="12">
    <w:abstractNumId w:val="1"/>
  </w:num>
  <w:num w:numId="13">
    <w:abstractNumId w:val="11"/>
  </w:num>
  <w:num w:numId="14">
    <w:abstractNumId w:val="14"/>
  </w:num>
  <w:num w:numId="15">
    <w:abstractNumId w:val="6"/>
  </w:num>
  <w:num w:numId="16">
    <w:abstractNumId w:val="9"/>
  </w:num>
  <w:num w:numId="17">
    <w:abstractNumId w:val="21"/>
  </w:num>
  <w:num w:numId="18">
    <w:abstractNumId w:val="2"/>
  </w:num>
  <w:num w:numId="19">
    <w:abstractNumId w:val="12"/>
  </w:num>
  <w:num w:numId="20">
    <w:abstractNumId w:val="18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defaultTabStop w:val="720"/>
  <w:autoHyphenation/>
  <w:hyphenationZone w:val="425"/>
  <w:doNotHyphenateCaps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93"/>
    <w:rsid w:val="00002B42"/>
    <w:rsid w:val="0002089D"/>
    <w:rsid w:val="0002606B"/>
    <w:rsid w:val="00032890"/>
    <w:rsid w:val="00036A5B"/>
    <w:rsid w:val="00043C54"/>
    <w:rsid w:val="00044F46"/>
    <w:rsid w:val="00047244"/>
    <w:rsid w:val="00071FEF"/>
    <w:rsid w:val="00072EAE"/>
    <w:rsid w:val="000743BB"/>
    <w:rsid w:val="000747D1"/>
    <w:rsid w:val="000954E0"/>
    <w:rsid w:val="000956D4"/>
    <w:rsid w:val="00096790"/>
    <w:rsid w:val="000A73D8"/>
    <w:rsid w:val="000A7F61"/>
    <w:rsid w:val="000D249F"/>
    <w:rsid w:val="000D6434"/>
    <w:rsid w:val="000E2E3A"/>
    <w:rsid w:val="000E344F"/>
    <w:rsid w:val="000F6B43"/>
    <w:rsid w:val="0011141F"/>
    <w:rsid w:val="00122495"/>
    <w:rsid w:val="001235B9"/>
    <w:rsid w:val="00127609"/>
    <w:rsid w:val="00137A1E"/>
    <w:rsid w:val="001501F1"/>
    <w:rsid w:val="00153381"/>
    <w:rsid w:val="00157D10"/>
    <w:rsid w:val="001903A0"/>
    <w:rsid w:val="00194CE1"/>
    <w:rsid w:val="001B1B3B"/>
    <w:rsid w:val="001C0D97"/>
    <w:rsid w:val="001C4F20"/>
    <w:rsid w:val="001D0CD8"/>
    <w:rsid w:val="001D4255"/>
    <w:rsid w:val="001E34AB"/>
    <w:rsid w:val="001F3177"/>
    <w:rsid w:val="001F3F56"/>
    <w:rsid w:val="00207DAD"/>
    <w:rsid w:val="00222214"/>
    <w:rsid w:val="00253F18"/>
    <w:rsid w:val="00271989"/>
    <w:rsid w:val="002726F7"/>
    <w:rsid w:val="00291205"/>
    <w:rsid w:val="00291C31"/>
    <w:rsid w:val="002A1E26"/>
    <w:rsid w:val="002A467C"/>
    <w:rsid w:val="002B0AD4"/>
    <w:rsid w:val="002B5650"/>
    <w:rsid w:val="002C1CE1"/>
    <w:rsid w:val="002C271E"/>
    <w:rsid w:val="002D47A6"/>
    <w:rsid w:val="002F4397"/>
    <w:rsid w:val="002F4995"/>
    <w:rsid w:val="00314CA0"/>
    <w:rsid w:val="00331026"/>
    <w:rsid w:val="003574E2"/>
    <w:rsid w:val="00371CCD"/>
    <w:rsid w:val="00387CF2"/>
    <w:rsid w:val="00394092"/>
    <w:rsid w:val="003A0CFA"/>
    <w:rsid w:val="003A4DED"/>
    <w:rsid w:val="003B27DE"/>
    <w:rsid w:val="003B349B"/>
    <w:rsid w:val="003C5CB6"/>
    <w:rsid w:val="003D0FBA"/>
    <w:rsid w:val="003D1232"/>
    <w:rsid w:val="003D4FC0"/>
    <w:rsid w:val="003E3AC9"/>
    <w:rsid w:val="003F2754"/>
    <w:rsid w:val="004024C3"/>
    <w:rsid w:val="004057BB"/>
    <w:rsid w:val="0041087D"/>
    <w:rsid w:val="00412C8A"/>
    <w:rsid w:val="004302F9"/>
    <w:rsid w:val="004467F4"/>
    <w:rsid w:val="00450868"/>
    <w:rsid w:val="004548D3"/>
    <w:rsid w:val="00473E15"/>
    <w:rsid w:val="0049425E"/>
    <w:rsid w:val="004A0A45"/>
    <w:rsid w:val="004B4881"/>
    <w:rsid w:val="004C3237"/>
    <w:rsid w:val="004C3CE8"/>
    <w:rsid w:val="004D6C13"/>
    <w:rsid w:val="004E50E5"/>
    <w:rsid w:val="004E7E5B"/>
    <w:rsid w:val="005066D2"/>
    <w:rsid w:val="00512B5A"/>
    <w:rsid w:val="00513DF3"/>
    <w:rsid w:val="00532C23"/>
    <w:rsid w:val="005353C2"/>
    <w:rsid w:val="00556AF7"/>
    <w:rsid w:val="00571AC5"/>
    <w:rsid w:val="00577C2E"/>
    <w:rsid w:val="00581141"/>
    <w:rsid w:val="005C3A59"/>
    <w:rsid w:val="005C5FF8"/>
    <w:rsid w:val="005E0B8A"/>
    <w:rsid w:val="005E62DC"/>
    <w:rsid w:val="005F4B89"/>
    <w:rsid w:val="005F4DFB"/>
    <w:rsid w:val="00617623"/>
    <w:rsid w:val="00621590"/>
    <w:rsid w:val="006278BC"/>
    <w:rsid w:val="006343D3"/>
    <w:rsid w:val="00643DC1"/>
    <w:rsid w:val="00647A84"/>
    <w:rsid w:val="00676B69"/>
    <w:rsid w:val="00681BE7"/>
    <w:rsid w:val="0068597B"/>
    <w:rsid w:val="006974A9"/>
    <w:rsid w:val="006A02CE"/>
    <w:rsid w:val="006A6D43"/>
    <w:rsid w:val="006B2514"/>
    <w:rsid w:val="006D0597"/>
    <w:rsid w:val="006D5924"/>
    <w:rsid w:val="006F4EF7"/>
    <w:rsid w:val="006F5709"/>
    <w:rsid w:val="006F6055"/>
    <w:rsid w:val="006F674D"/>
    <w:rsid w:val="00714601"/>
    <w:rsid w:val="007338EA"/>
    <w:rsid w:val="00745A05"/>
    <w:rsid w:val="00746059"/>
    <w:rsid w:val="00755D90"/>
    <w:rsid w:val="00757342"/>
    <w:rsid w:val="007602AB"/>
    <w:rsid w:val="007626CA"/>
    <w:rsid w:val="0076504D"/>
    <w:rsid w:val="00767A0D"/>
    <w:rsid w:val="007743CB"/>
    <w:rsid w:val="007812BF"/>
    <w:rsid w:val="00782B75"/>
    <w:rsid w:val="00782DE6"/>
    <w:rsid w:val="00783FFF"/>
    <w:rsid w:val="007A7E8D"/>
    <w:rsid w:val="007B148E"/>
    <w:rsid w:val="007B1F03"/>
    <w:rsid w:val="007B6DE8"/>
    <w:rsid w:val="007C467F"/>
    <w:rsid w:val="007D1B26"/>
    <w:rsid w:val="007E3A84"/>
    <w:rsid w:val="007F6C53"/>
    <w:rsid w:val="007F75C2"/>
    <w:rsid w:val="008003D0"/>
    <w:rsid w:val="0080412A"/>
    <w:rsid w:val="00804B20"/>
    <w:rsid w:val="00815464"/>
    <w:rsid w:val="00837448"/>
    <w:rsid w:val="0084747B"/>
    <w:rsid w:val="00854458"/>
    <w:rsid w:val="00856599"/>
    <w:rsid w:val="00866FC1"/>
    <w:rsid w:val="00890D9E"/>
    <w:rsid w:val="00891A3F"/>
    <w:rsid w:val="00896E6E"/>
    <w:rsid w:val="008A1868"/>
    <w:rsid w:val="008B14E7"/>
    <w:rsid w:val="008D1782"/>
    <w:rsid w:val="008E3DD4"/>
    <w:rsid w:val="008F10FD"/>
    <w:rsid w:val="008F2ADD"/>
    <w:rsid w:val="008F7CE7"/>
    <w:rsid w:val="00924048"/>
    <w:rsid w:val="00934CDA"/>
    <w:rsid w:val="00942222"/>
    <w:rsid w:val="0094234F"/>
    <w:rsid w:val="00950A21"/>
    <w:rsid w:val="0096068C"/>
    <w:rsid w:val="0096585C"/>
    <w:rsid w:val="00975B1C"/>
    <w:rsid w:val="00976FE0"/>
    <w:rsid w:val="009813DA"/>
    <w:rsid w:val="00990FF7"/>
    <w:rsid w:val="00991DE0"/>
    <w:rsid w:val="00996BFF"/>
    <w:rsid w:val="009D760D"/>
    <w:rsid w:val="009E1650"/>
    <w:rsid w:val="009F1985"/>
    <w:rsid w:val="009F44AF"/>
    <w:rsid w:val="00A10CA4"/>
    <w:rsid w:val="00A1633E"/>
    <w:rsid w:val="00A204CB"/>
    <w:rsid w:val="00A246EA"/>
    <w:rsid w:val="00A26CAE"/>
    <w:rsid w:val="00A279AB"/>
    <w:rsid w:val="00A3677E"/>
    <w:rsid w:val="00A65F70"/>
    <w:rsid w:val="00A70583"/>
    <w:rsid w:val="00A714D1"/>
    <w:rsid w:val="00A74B43"/>
    <w:rsid w:val="00A87A45"/>
    <w:rsid w:val="00AA2878"/>
    <w:rsid w:val="00AB0788"/>
    <w:rsid w:val="00AC0502"/>
    <w:rsid w:val="00AC0A18"/>
    <w:rsid w:val="00AC29F1"/>
    <w:rsid w:val="00AE03F0"/>
    <w:rsid w:val="00B01A7E"/>
    <w:rsid w:val="00B04AD7"/>
    <w:rsid w:val="00B2675C"/>
    <w:rsid w:val="00B42117"/>
    <w:rsid w:val="00B5070E"/>
    <w:rsid w:val="00B528F5"/>
    <w:rsid w:val="00B53022"/>
    <w:rsid w:val="00B60569"/>
    <w:rsid w:val="00B606F2"/>
    <w:rsid w:val="00B70367"/>
    <w:rsid w:val="00B705A8"/>
    <w:rsid w:val="00B71151"/>
    <w:rsid w:val="00B72E71"/>
    <w:rsid w:val="00B82D01"/>
    <w:rsid w:val="00BA2656"/>
    <w:rsid w:val="00BA42EF"/>
    <w:rsid w:val="00BA6FAF"/>
    <w:rsid w:val="00BB0F29"/>
    <w:rsid w:val="00BC2C20"/>
    <w:rsid w:val="00BC76A6"/>
    <w:rsid w:val="00BD24DB"/>
    <w:rsid w:val="00C039DF"/>
    <w:rsid w:val="00C063AC"/>
    <w:rsid w:val="00C06FC8"/>
    <w:rsid w:val="00C1352A"/>
    <w:rsid w:val="00C14C64"/>
    <w:rsid w:val="00C203B4"/>
    <w:rsid w:val="00C269EA"/>
    <w:rsid w:val="00C62D6D"/>
    <w:rsid w:val="00C63458"/>
    <w:rsid w:val="00C82158"/>
    <w:rsid w:val="00C84C61"/>
    <w:rsid w:val="00C85745"/>
    <w:rsid w:val="00C874E2"/>
    <w:rsid w:val="00C9293A"/>
    <w:rsid w:val="00C93757"/>
    <w:rsid w:val="00C9755D"/>
    <w:rsid w:val="00CC02B8"/>
    <w:rsid w:val="00CD214B"/>
    <w:rsid w:val="00CD782A"/>
    <w:rsid w:val="00CE6146"/>
    <w:rsid w:val="00CE79CB"/>
    <w:rsid w:val="00CF4B94"/>
    <w:rsid w:val="00CF62BF"/>
    <w:rsid w:val="00CF678C"/>
    <w:rsid w:val="00D0401F"/>
    <w:rsid w:val="00D3722D"/>
    <w:rsid w:val="00D41420"/>
    <w:rsid w:val="00D42A63"/>
    <w:rsid w:val="00D53493"/>
    <w:rsid w:val="00D556B7"/>
    <w:rsid w:val="00D62192"/>
    <w:rsid w:val="00D66411"/>
    <w:rsid w:val="00D773C8"/>
    <w:rsid w:val="00DA4CD1"/>
    <w:rsid w:val="00DB6350"/>
    <w:rsid w:val="00DC270F"/>
    <w:rsid w:val="00DE04BD"/>
    <w:rsid w:val="00DE65CE"/>
    <w:rsid w:val="00E00054"/>
    <w:rsid w:val="00E00CB0"/>
    <w:rsid w:val="00E011DB"/>
    <w:rsid w:val="00E27C63"/>
    <w:rsid w:val="00E311FA"/>
    <w:rsid w:val="00E31C92"/>
    <w:rsid w:val="00E33778"/>
    <w:rsid w:val="00E4329D"/>
    <w:rsid w:val="00E54D3B"/>
    <w:rsid w:val="00E63726"/>
    <w:rsid w:val="00EA4F5E"/>
    <w:rsid w:val="00EB0F4F"/>
    <w:rsid w:val="00EB1CC9"/>
    <w:rsid w:val="00EB2553"/>
    <w:rsid w:val="00EE24C9"/>
    <w:rsid w:val="00F06A2B"/>
    <w:rsid w:val="00F15281"/>
    <w:rsid w:val="00F21AEC"/>
    <w:rsid w:val="00F35026"/>
    <w:rsid w:val="00F350E7"/>
    <w:rsid w:val="00F45C06"/>
    <w:rsid w:val="00F57DDF"/>
    <w:rsid w:val="00F6037B"/>
    <w:rsid w:val="00F93FA0"/>
    <w:rsid w:val="00FB28BD"/>
    <w:rsid w:val="00FB3BEB"/>
    <w:rsid w:val="00FB6142"/>
    <w:rsid w:val="00FD20DC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28AD6092"/>
  <w15:docId w15:val="{B36D0483-3D05-4230-9ED9-3E74ABF4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493"/>
    <w:pPr>
      <w:tabs>
        <w:tab w:val="left" w:pos="567"/>
      </w:tabs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/>
    </w:rPr>
  </w:style>
  <w:style w:type="paragraph" w:styleId="Heading1">
    <w:name w:val="heading 1"/>
    <w:basedOn w:val="Normal"/>
    <w:next w:val="Heading2"/>
    <w:link w:val="Heading1Char"/>
    <w:autoRedefine/>
    <w:qFormat/>
    <w:rsid w:val="00BC76A6"/>
    <w:pPr>
      <w:keepNext/>
      <w:keepLines/>
      <w:numPr>
        <w:numId w:val="1"/>
      </w:numPr>
      <w:spacing w:after="240"/>
      <w:ind w:left="2988"/>
      <w:outlineLvl w:val="0"/>
    </w:pPr>
    <w:rPr>
      <w:rFonts w:cstheme="minorBidi"/>
      <w:b/>
      <w:bCs/>
      <w:caps/>
      <w:snapToGrid/>
      <w:kern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C0D97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153381"/>
    <w:pPr>
      <w:keepNext/>
      <w:numPr>
        <w:ilvl w:val="3"/>
        <w:numId w:val="3"/>
      </w:numPr>
      <w:tabs>
        <w:tab w:val="num" w:pos="864"/>
      </w:tabs>
      <w:spacing w:after="240"/>
      <w:ind w:left="862" w:hanging="862"/>
      <w:outlineLvl w:val="3"/>
    </w:pPr>
    <w:rPr>
      <w:rFonts w:eastAsia="MS Mincho" w:cstheme="minorBidi"/>
      <w:bCs/>
      <w:i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AE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0D97"/>
    <w:rPr>
      <w:rFonts w:ascii="Arial" w:eastAsiaTheme="majorEastAsia" w:hAnsi="Arial" w:cstheme="majorBidi"/>
      <w:szCs w:val="26"/>
      <w:lang w:val="en-GB" w:eastAsia="ja-JP"/>
    </w:rPr>
  </w:style>
  <w:style w:type="character" w:styleId="Hyperlink">
    <w:name w:val="Hyperlink"/>
    <w:basedOn w:val="DefaultParagraphFont"/>
    <w:unhideWhenUsed/>
    <w:qFormat/>
    <w:rsid w:val="00AB0788"/>
    <w:rPr>
      <w:rFonts w:ascii="Arial" w:hAnsi="Arial"/>
      <w:color w:val="0000FF"/>
      <w:sz w:val="22"/>
      <w:u w:val="single"/>
    </w:rPr>
  </w:style>
  <w:style w:type="paragraph" w:customStyle="1" w:styleId="Links">
    <w:name w:val="Links"/>
    <w:basedOn w:val="Normal"/>
    <w:qFormat/>
    <w:rsid w:val="00AB0788"/>
    <w:pPr>
      <w:autoSpaceDE w:val="0"/>
      <w:autoSpaceDN w:val="0"/>
      <w:adjustRightInd w:val="0"/>
      <w:spacing w:after="240"/>
      <w:jc w:val="both"/>
    </w:pPr>
    <w:rPr>
      <w:rFonts w:cs="Arial"/>
      <w:color w:val="4472C4" w:themeColor="accent5"/>
      <w:szCs w:val="22"/>
      <w:lang w:val="en-US"/>
    </w:rPr>
  </w:style>
  <w:style w:type="character" w:customStyle="1" w:styleId="Heading1Char">
    <w:name w:val="Heading 1 Char"/>
    <w:link w:val="Heading1"/>
    <w:rsid w:val="00BC76A6"/>
    <w:rPr>
      <w:rFonts w:ascii="Arial" w:eastAsia="Times New Roman" w:hAnsi="Arial"/>
      <w:b/>
      <w:bCs/>
      <w:caps/>
      <w:snapToGrid w:val="0"/>
      <w:kern w:val="28"/>
      <w:szCs w:val="24"/>
      <w:lang w:val="en-GB"/>
    </w:rPr>
  </w:style>
  <w:style w:type="paragraph" w:styleId="DocumentMap">
    <w:name w:val="Document Map"/>
    <w:basedOn w:val="Normal"/>
    <w:link w:val="DocumentMapChar"/>
    <w:autoRedefine/>
    <w:uiPriority w:val="99"/>
    <w:rsid w:val="00153381"/>
    <w:pPr>
      <w:widowControl w:val="0"/>
      <w:shd w:val="clear" w:color="auto" w:fill="000080"/>
      <w:adjustRightInd w:val="0"/>
      <w:spacing w:after="240"/>
      <w:jc w:val="both"/>
      <w:textAlignment w:val="baseline"/>
    </w:pPr>
    <w:rPr>
      <w:rFonts w:cs="Tahoma"/>
      <w:szCs w:val="22"/>
      <w:lang w:val="en-AU" w:eastAsia="en-AU"/>
    </w:rPr>
  </w:style>
  <w:style w:type="character" w:customStyle="1" w:styleId="DocumentMapChar">
    <w:name w:val="Document Map Char"/>
    <w:link w:val="DocumentMap"/>
    <w:uiPriority w:val="99"/>
    <w:rsid w:val="00153381"/>
    <w:rPr>
      <w:rFonts w:ascii="Arial" w:hAnsi="Arial" w:cs="Tahoma"/>
      <w:shd w:val="clear" w:color="auto" w:fill="000080"/>
      <w:lang w:val="en-AU" w:eastAsia="en-AU"/>
    </w:rPr>
  </w:style>
  <w:style w:type="character" w:customStyle="1" w:styleId="Heading4Char">
    <w:name w:val="Heading 4 Char"/>
    <w:link w:val="Heading4"/>
    <w:uiPriority w:val="99"/>
    <w:rsid w:val="00153381"/>
    <w:rPr>
      <w:rFonts w:ascii="Arial" w:eastAsia="MS Mincho" w:hAnsi="Arial"/>
      <w:bCs/>
      <w:i/>
      <w:szCs w:val="28"/>
      <w:lang w:val="en-GB" w:eastAsia="ja-JP"/>
    </w:rPr>
  </w:style>
  <w:style w:type="paragraph" w:customStyle="1" w:styleId="b">
    <w:name w:val="(b)"/>
    <w:basedOn w:val="Normal"/>
    <w:rsid w:val="00D53493"/>
    <w:pPr>
      <w:tabs>
        <w:tab w:val="clear" w:pos="567"/>
        <w:tab w:val="left" w:pos="-737"/>
        <w:tab w:val="left" w:pos="1134"/>
      </w:tabs>
      <w:spacing w:after="240"/>
      <w:ind w:left="1134" w:hanging="567"/>
      <w:jc w:val="both"/>
    </w:pPr>
  </w:style>
  <w:style w:type="paragraph" w:styleId="ListParagraph">
    <w:name w:val="List Paragraph"/>
    <w:basedOn w:val="Normal"/>
    <w:uiPriority w:val="34"/>
    <w:qFormat/>
    <w:rsid w:val="00D534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53493"/>
    <w:pPr>
      <w:tabs>
        <w:tab w:val="clear" w:pos="567"/>
        <w:tab w:val="center" w:pos="4153"/>
        <w:tab w:val="right" w:pos="8306"/>
      </w:tabs>
      <w:snapToGrid/>
      <w:jc w:val="both"/>
    </w:pPr>
    <w:rPr>
      <w:snapToGrid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3493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2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C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C20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C20"/>
    <w:rPr>
      <w:rFonts w:ascii="Times New Roman" w:eastAsia="Times New Roman" w:hAnsi="Times New Roman" w:cs="Times New Roman"/>
      <w:b/>
      <w:bCs/>
      <w:snapToGrid w:val="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C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C20"/>
    <w:rPr>
      <w:rFonts w:ascii="Segoe UI" w:eastAsia="Times New Roman" w:hAnsi="Segoe UI" w:cs="Segoe UI"/>
      <w:snapToGrid w:val="0"/>
      <w:sz w:val="18"/>
      <w:szCs w:val="18"/>
      <w:lang w:val="en-GB"/>
    </w:rPr>
  </w:style>
  <w:style w:type="paragraph" w:customStyle="1" w:styleId="Default">
    <w:name w:val="Default"/>
    <w:rsid w:val="00FB28B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D0597"/>
    <w:pPr>
      <w:tabs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597"/>
    <w:rPr>
      <w:rFonts w:ascii="Times New Roman" w:eastAsia="Times New Roman" w:hAnsi="Times New Roman" w:cs="Times New Roman"/>
      <w:snapToGrid w:val="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137A1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675C"/>
    <w:rPr>
      <w:color w:val="605E5C"/>
      <w:shd w:val="clear" w:color="auto" w:fill="E1DFDD"/>
    </w:rPr>
  </w:style>
  <w:style w:type="character" w:customStyle="1" w:styleId="Heading9Char">
    <w:name w:val="Heading 9 Char"/>
    <w:basedOn w:val="DefaultParagraphFont"/>
    <w:link w:val="Heading9"/>
    <w:semiHidden/>
    <w:qFormat/>
    <w:rsid w:val="00F21AEC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94234F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rsid w:val="0094234F"/>
    <w:pPr>
      <w:widowControl w:val="0"/>
      <w:spacing w:line="360" w:lineRule="atLeast"/>
      <w:ind w:left="567" w:hanging="567"/>
      <w:jc w:val="both"/>
      <w:textAlignment w:val="baseline"/>
    </w:pPr>
    <w:rPr>
      <w:rFonts w:ascii="Arial" w:eastAsiaTheme="minorHAnsi" w:hAnsi="Arial" w:cstheme="minorBidi"/>
      <w:snapToGrid/>
      <w:sz w:val="22"/>
      <w:szCs w:val="22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94234F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unhideWhenUsed/>
    <w:rsid w:val="009423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expert.org/document/28396" TargetMode="External"/><Relationship Id="rId13" Type="http://schemas.openxmlformats.org/officeDocument/2006/relationships/hyperlink" Target="https://unesdoc.unesco.org/ark:/48223/pf0000372666.locale=en" TargetMode="External"/><Relationship Id="rId18" Type="http://schemas.openxmlformats.org/officeDocument/2006/relationships/hyperlink" Target="https://oceanexpert.org/document/2809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unesdoc.unesco.org/ark:/48223/pf0000372666.locale=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ceanexpert.org/document/28496" TargetMode="External"/><Relationship Id="rId17" Type="http://schemas.openxmlformats.org/officeDocument/2006/relationships/hyperlink" Target="https://unesdoc.unesco.org/ark:/48223/pf0000375848.locale=en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oceanexpert.org/document/28336" TargetMode="External"/><Relationship Id="rId20" Type="http://schemas.openxmlformats.org/officeDocument/2006/relationships/hyperlink" Target="https://oceanexpert.org/document/2809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eanexpert.org/document/28092" TargetMode="External"/><Relationship Id="rId24" Type="http://schemas.openxmlformats.org/officeDocument/2006/relationships/hyperlink" Target="http://www.ioc-unesco.org/index.php?option=com_oe&amp;task=viewDocumentRecord&amp;docID=17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ceanexpert.org/document/28336" TargetMode="External"/><Relationship Id="rId23" Type="http://schemas.openxmlformats.org/officeDocument/2006/relationships/image" Target="media/image1.png"/><Relationship Id="rId28" Type="http://schemas.openxmlformats.org/officeDocument/2006/relationships/header" Target="header3.xml"/><Relationship Id="rId10" Type="http://schemas.openxmlformats.org/officeDocument/2006/relationships/hyperlink" Target="https://oceanexpert.org/document/28297" TargetMode="External"/><Relationship Id="rId19" Type="http://schemas.openxmlformats.org/officeDocument/2006/relationships/hyperlink" Target="https://unesdoc.unesco.org/ark:/48223/pf0000375848.locale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ceanexpert.org/document/28336" TargetMode="External"/><Relationship Id="rId14" Type="http://schemas.openxmlformats.org/officeDocument/2006/relationships/hyperlink" Target="https://unesdoc.unesco.org/ark:/48223/pf0000368029.locale=en" TargetMode="External"/><Relationship Id="rId22" Type="http://schemas.openxmlformats.org/officeDocument/2006/relationships/hyperlink" Target="https://unesdoc.unesco.org/ark:/48223/pf0000375848.locale=en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F8E51-7EE3-4FAF-9335-5FA332B1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8767</Words>
  <Characters>49978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IOC-31, DR.4.4 - Governance, programming and budgeting matters of the Commission</vt:lpstr>
    </vt:vector>
  </TitlesOfParts>
  <Company>UNESCO</Company>
  <LinksUpToDate>false</LinksUpToDate>
  <CharactersWithSpaces>58628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Аспекты деятельности Комиссии, касающиеся управления и_x000d_
подготовки программы и бюджета</dc:title>
  <dc:subject>IOC-31/DR.[4.4]</dc:subject>
  <dc:creator>Pastor Reyes, Ingrid</dc:creator>
  <cp:keywords>0</cp:keywords>
  <dc:description/>
  <cp:lastModifiedBy>Pastor Reyes, Ingrid</cp:lastModifiedBy>
  <cp:revision>2</cp:revision>
  <dcterms:created xsi:type="dcterms:W3CDTF">2021-06-23T18:20:00Z</dcterms:created>
  <dcterms:modified xsi:type="dcterms:W3CDTF">2021-06-23T18:20:00Z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DCPMS">
    <vt:lpwstr>2102014</vt:lpwstr>
  </property>
  <property fmtid="{D5CDD505-2E9C-101B-9397-08002B2CF9AE}" pid="3" name="Language">
    <vt:lpwstr>R</vt:lpwstr>
  </property>
</Properties>
</file>