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2FCA" w14:textId="77777777" w:rsidR="00874F6E" w:rsidRPr="00C364CB" w:rsidRDefault="00874F6E" w:rsidP="00762856">
      <w:pPr>
        <w:tabs>
          <w:tab w:val="left" w:pos="1545"/>
        </w:tabs>
        <w:spacing w:after="240"/>
        <w:jc w:val="both"/>
        <w:rPr>
          <w:b/>
          <w:lang w:val="fr-FR"/>
        </w:rPr>
      </w:pPr>
      <w:r>
        <w:rPr>
          <w:b/>
          <w:bCs/>
          <w:lang w:val="fr-FR"/>
        </w:rPr>
        <w:t>Résumé exécutif</w:t>
      </w:r>
    </w:p>
    <w:p w14:paraId="5451348B" w14:textId="54700A82" w:rsidR="00874F6E" w:rsidRPr="00C364CB" w:rsidRDefault="00874F6E" w:rsidP="00762856">
      <w:pPr>
        <w:spacing w:after="240"/>
        <w:jc w:val="both"/>
        <w:rPr>
          <w:lang w:val="fr-FR"/>
        </w:rPr>
      </w:pPr>
      <w:r>
        <w:rPr>
          <w:lang w:val="fr-FR"/>
        </w:rPr>
        <w:t>Le Groupe intergouvernemental de coordination du Système d</w:t>
      </w:r>
      <w:r w:rsidR="00352609">
        <w:rPr>
          <w:lang w:val="fr-FR"/>
        </w:rPr>
        <w:t>’</w:t>
      </w:r>
      <w:r>
        <w:rPr>
          <w:lang w:val="fr-FR"/>
        </w:rPr>
        <w:t>alerte rapide aux tsunamis et de mitigation dans l</w:t>
      </w:r>
      <w:r w:rsidR="00352609">
        <w:rPr>
          <w:lang w:val="fr-FR"/>
        </w:rPr>
        <w:t>’</w:t>
      </w:r>
      <w:r>
        <w:rPr>
          <w:lang w:val="fr-FR"/>
        </w:rPr>
        <w:t xml:space="preserve">Atlantique du Nord-Est, la Méditerranée et les mers adjacentes (GIC/NEAMTWS) a </w:t>
      </w:r>
      <w:r w:rsidR="00C364CB">
        <w:rPr>
          <w:lang w:val="fr-FR"/>
        </w:rPr>
        <w:t xml:space="preserve">réuni </w:t>
      </w:r>
      <w:r>
        <w:rPr>
          <w:lang w:val="fr-FR"/>
        </w:rPr>
        <w:t>les représentants de 16 États membres lors de sa 17</w:t>
      </w:r>
      <w:r>
        <w:rPr>
          <w:vertAlign w:val="superscript"/>
          <w:lang w:val="fr-FR"/>
        </w:rPr>
        <w:t>e</w:t>
      </w:r>
      <w:r>
        <w:rPr>
          <w:lang w:val="fr-FR"/>
        </w:rPr>
        <w:t> session, qui s</w:t>
      </w:r>
      <w:r w:rsidR="00352609">
        <w:rPr>
          <w:lang w:val="fr-FR"/>
        </w:rPr>
        <w:t>’</w:t>
      </w:r>
      <w:r>
        <w:rPr>
          <w:lang w:val="fr-FR"/>
        </w:rPr>
        <w:t xml:space="preserve">est tenue en ligne du 24 au 26 novembre 2021. Le GIC a adopté les décisions et recommandations </w:t>
      </w:r>
      <w:r w:rsidR="00C364CB">
        <w:rPr>
          <w:lang w:val="fr-FR"/>
        </w:rPr>
        <w:t>ci-après </w:t>
      </w:r>
      <w:r>
        <w:rPr>
          <w:lang w:val="fr-FR"/>
        </w:rPr>
        <w:t>:</w:t>
      </w:r>
    </w:p>
    <w:p w14:paraId="4A59A25F" w14:textId="77777777" w:rsidR="00874F6E" w:rsidRPr="00C364CB" w:rsidRDefault="00874F6E" w:rsidP="00762856">
      <w:pPr>
        <w:spacing w:after="240"/>
        <w:jc w:val="both"/>
        <w:rPr>
          <w:b/>
          <w:lang w:val="fr-FR"/>
        </w:rPr>
      </w:pPr>
      <w:r>
        <w:rPr>
          <w:lang w:val="fr-FR"/>
        </w:rPr>
        <w:t>Le GIC/NEAMTWS,</w:t>
      </w:r>
    </w:p>
    <w:p w14:paraId="6BB6E33C" w14:textId="79171FA6" w:rsidR="00874F6E" w:rsidRPr="00C364CB" w:rsidRDefault="00C364CB" w:rsidP="00762856">
      <w:pPr>
        <w:spacing w:after="240"/>
        <w:jc w:val="both"/>
        <w:rPr>
          <w:lang w:val="fr-FR"/>
        </w:rPr>
      </w:pPr>
      <w:r>
        <w:rPr>
          <w:b/>
          <w:bCs/>
          <w:lang w:val="fr-FR"/>
        </w:rPr>
        <w:t>Prend</w:t>
      </w:r>
      <w:r w:rsidR="00874F6E">
        <w:rPr>
          <w:b/>
          <w:bCs/>
          <w:lang w:val="fr-FR"/>
        </w:rPr>
        <w:t xml:space="preserve"> note</w:t>
      </w:r>
      <w:r w:rsidR="00874F6E">
        <w:rPr>
          <w:lang w:val="fr-FR"/>
        </w:rPr>
        <w:t xml:space="preserve"> des résultats positifs du quatrième exercice d</w:t>
      </w:r>
      <w:r w:rsidR="00352609">
        <w:rPr>
          <w:lang w:val="fr-FR"/>
        </w:rPr>
        <w:t>’</w:t>
      </w:r>
      <w:r w:rsidR="00874F6E">
        <w:rPr>
          <w:lang w:val="fr-FR"/>
        </w:rPr>
        <w:t xml:space="preserve">alerte aux tsunamis dans la région, NEAMWave21, organisé du 8 au 10 mars 2021, </w:t>
      </w:r>
      <w:r>
        <w:rPr>
          <w:lang w:val="fr-FR"/>
        </w:rPr>
        <w:t xml:space="preserve">ainsi que de </w:t>
      </w:r>
      <w:r w:rsidR="005E3263">
        <w:rPr>
          <w:lang w:val="fr-FR"/>
        </w:rPr>
        <w:t>la nette augmentation de l’intérêt des médias pour cet exercice</w:t>
      </w:r>
      <w:r w:rsidR="00874F6E">
        <w:rPr>
          <w:lang w:val="fr-FR"/>
        </w:rPr>
        <w:t> ;</w:t>
      </w:r>
    </w:p>
    <w:p w14:paraId="623874FF" w14:textId="39442BAF" w:rsidR="00874F6E" w:rsidRPr="00C364CB" w:rsidRDefault="005E3263" w:rsidP="00762856">
      <w:pPr>
        <w:spacing w:after="240"/>
        <w:jc w:val="both"/>
        <w:rPr>
          <w:lang w:val="fr-FR"/>
        </w:rPr>
      </w:pPr>
      <w:r>
        <w:rPr>
          <w:b/>
          <w:bCs/>
          <w:lang w:val="fr-FR"/>
        </w:rPr>
        <w:t>Remercie</w:t>
      </w:r>
      <w:r w:rsidR="00874F6E">
        <w:rPr>
          <w:b/>
          <w:bCs/>
          <w:lang w:val="fr-FR"/>
        </w:rPr>
        <w:t xml:space="preserve"> </w:t>
      </w:r>
      <w:r>
        <w:rPr>
          <w:lang w:val="fr-FR"/>
        </w:rPr>
        <w:t xml:space="preserve">les </w:t>
      </w:r>
      <w:r w:rsidR="00874F6E">
        <w:rPr>
          <w:lang w:val="fr-FR"/>
        </w:rPr>
        <w:t xml:space="preserve">coprésidents et </w:t>
      </w:r>
      <w:r>
        <w:rPr>
          <w:lang w:val="fr-FR"/>
        </w:rPr>
        <w:t xml:space="preserve">les </w:t>
      </w:r>
      <w:r w:rsidR="00874F6E">
        <w:rPr>
          <w:lang w:val="fr-FR"/>
        </w:rPr>
        <w:t>membre</w:t>
      </w:r>
      <w:r w:rsidR="00A06728">
        <w:rPr>
          <w:lang w:val="fr-FR"/>
        </w:rPr>
        <w:t>s</w:t>
      </w:r>
      <w:r w:rsidR="00874F6E">
        <w:rPr>
          <w:lang w:val="fr-FR"/>
        </w:rPr>
        <w:t xml:space="preserve"> de l</w:t>
      </w:r>
      <w:r w:rsidR="00352609">
        <w:rPr>
          <w:lang w:val="fr-FR"/>
        </w:rPr>
        <w:t>’</w:t>
      </w:r>
      <w:r w:rsidR="00874F6E">
        <w:rPr>
          <w:lang w:val="fr-FR"/>
        </w:rPr>
        <w:t>Équipe spéciale sur les exercices pour avoir élaboré le rapport d</w:t>
      </w:r>
      <w:r w:rsidR="00352609">
        <w:rPr>
          <w:lang w:val="fr-FR"/>
        </w:rPr>
        <w:t>’</w:t>
      </w:r>
      <w:r w:rsidR="00874F6E">
        <w:rPr>
          <w:lang w:val="fr-FR"/>
        </w:rPr>
        <w:t>évaluation du NEAMWave21</w:t>
      </w:r>
      <w:r>
        <w:rPr>
          <w:lang w:val="fr-FR"/>
        </w:rPr>
        <w:t>,</w:t>
      </w:r>
      <w:r w:rsidR="00874F6E">
        <w:rPr>
          <w:lang w:val="fr-FR"/>
        </w:rPr>
        <w:t xml:space="preserve"> et les </w:t>
      </w:r>
      <w:r>
        <w:rPr>
          <w:b/>
          <w:bCs/>
          <w:lang w:val="fr-FR"/>
        </w:rPr>
        <w:t>prie</w:t>
      </w:r>
      <w:r>
        <w:rPr>
          <w:lang w:val="fr-FR"/>
        </w:rPr>
        <w:t xml:space="preserve"> </w:t>
      </w:r>
      <w:r w:rsidR="00874F6E">
        <w:rPr>
          <w:lang w:val="fr-FR"/>
        </w:rPr>
        <w:t>de finaliser le</w:t>
      </w:r>
      <w:r w:rsidR="00251F22">
        <w:rPr>
          <w:lang w:val="fr-FR"/>
        </w:rPr>
        <w:t>dit</w:t>
      </w:r>
      <w:r w:rsidR="00874F6E">
        <w:rPr>
          <w:lang w:val="fr-FR"/>
        </w:rPr>
        <w:t xml:space="preserve"> rapport </w:t>
      </w:r>
      <w:r w:rsidR="00A06728">
        <w:rPr>
          <w:lang w:val="fr-FR"/>
        </w:rPr>
        <w:t>a</w:t>
      </w:r>
      <w:r w:rsidR="00874F6E">
        <w:rPr>
          <w:lang w:val="fr-FR"/>
        </w:rPr>
        <w:t>u premier trimestre de 2022 ;</w:t>
      </w:r>
    </w:p>
    <w:p w14:paraId="2AED52C0" w14:textId="75435FDF" w:rsidR="00874F6E" w:rsidRPr="00C364CB" w:rsidRDefault="002121AA" w:rsidP="00762856">
      <w:pPr>
        <w:spacing w:after="240"/>
        <w:jc w:val="both"/>
        <w:rPr>
          <w:lang w:val="fr-FR"/>
        </w:rPr>
      </w:pPr>
      <w:r>
        <w:rPr>
          <w:b/>
          <w:bCs/>
          <w:lang w:val="fr-FR"/>
        </w:rPr>
        <w:t>Prend acte</w:t>
      </w:r>
      <w:r w:rsidR="00874F6E">
        <w:rPr>
          <w:lang w:val="fr-FR"/>
        </w:rPr>
        <w:t xml:space="preserve"> </w:t>
      </w:r>
      <w:r>
        <w:rPr>
          <w:lang w:val="fr-FR"/>
        </w:rPr>
        <w:t xml:space="preserve">des </w:t>
      </w:r>
      <w:r w:rsidR="00874F6E">
        <w:rPr>
          <w:lang w:val="fr-FR"/>
        </w:rPr>
        <w:t xml:space="preserve">actions continues de sensibilisation et de préparation aux risques de tsunami menées par les États membres au cours de la période intersessions, </w:t>
      </w:r>
      <w:r>
        <w:rPr>
          <w:lang w:val="fr-FR"/>
        </w:rPr>
        <w:t>parallèlement et à titre de contribution à</w:t>
      </w:r>
      <w:r w:rsidR="00874F6E">
        <w:rPr>
          <w:lang w:val="fr-FR"/>
        </w:rPr>
        <w:t xml:space="preserve"> la Journée mondiale de sensibilisation aux tsunamis, le 5 novembre 2021 ;</w:t>
      </w:r>
    </w:p>
    <w:p w14:paraId="6D8C49BE" w14:textId="163E9103" w:rsidR="00874F6E" w:rsidRPr="00C364CB" w:rsidRDefault="002121AA" w:rsidP="00762856">
      <w:pPr>
        <w:spacing w:after="240"/>
        <w:jc w:val="both"/>
        <w:rPr>
          <w:lang w:val="fr-FR"/>
        </w:rPr>
      </w:pPr>
      <w:r>
        <w:rPr>
          <w:b/>
          <w:bCs/>
          <w:lang w:val="fr-FR"/>
        </w:rPr>
        <w:t>Se félicite</w:t>
      </w:r>
      <w:r w:rsidR="00874F6E">
        <w:rPr>
          <w:lang w:val="fr-FR"/>
        </w:rPr>
        <w:t xml:space="preserve"> des exercices d</w:t>
      </w:r>
      <w:r w:rsidR="00352609">
        <w:rPr>
          <w:lang w:val="fr-FR"/>
        </w:rPr>
        <w:t>’</w:t>
      </w:r>
      <w:r w:rsidR="00874F6E">
        <w:rPr>
          <w:lang w:val="fr-FR"/>
        </w:rPr>
        <w:t xml:space="preserve">alerte aux tsunamis organisés en France et à Malte </w:t>
      </w:r>
      <w:r w:rsidR="00EE0E88">
        <w:rPr>
          <w:lang w:val="fr-FR"/>
        </w:rPr>
        <w:t>à l</w:t>
      </w:r>
      <w:r w:rsidR="00352609">
        <w:rPr>
          <w:lang w:val="fr-FR"/>
        </w:rPr>
        <w:t>’</w:t>
      </w:r>
      <w:r w:rsidR="00EE0E88">
        <w:rPr>
          <w:lang w:val="fr-FR"/>
        </w:rPr>
        <w:t>occasion de</w:t>
      </w:r>
      <w:r w:rsidR="00874F6E">
        <w:rPr>
          <w:lang w:val="fr-FR"/>
        </w:rPr>
        <w:t xml:space="preserve"> la Journée mondiale de sensibilisation aux tsunamis ;</w:t>
      </w:r>
    </w:p>
    <w:p w14:paraId="39F5EE7E" w14:textId="3BD69B09" w:rsidR="00874F6E" w:rsidRPr="00C364CB" w:rsidRDefault="00080C39" w:rsidP="00762856">
      <w:pPr>
        <w:spacing w:after="240"/>
        <w:jc w:val="both"/>
        <w:rPr>
          <w:lang w:val="fr-FR"/>
        </w:rPr>
      </w:pPr>
      <w:r>
        <w:rPr>
          <w:b/>
          <w:bCs/>
          <w:lang w:val="fr-FR"/>
        </w:rPr>
        <w:t xml:space="preserve">Prend note </w:t>
      </w:r>
      <w:r w:rsidR="00874F6E">
        <w:rPr>
          <w:lang w:val="fr-FR"/>
        </w:rPr>
        <w:t xml:space="preserve">des travaux menés par le Groupe Tsunami </w:t>
      </w:r>
      <w:proofErr w:type="spellStart"/>
      <w:r w:rsidR="00874F6E">
        <w:rPr>
          <w:lang w:val="fr-FR"/>
        </w:rPr>
        <w:t>Ready</w:t>
      </w:r>
      <w:proofErr w:type="spellEnd"/>
      <w:r w:rsidR="00874F6E">
        <w:rPr>
          <w:lang w:val="fr-FR"/>
        </w:rPr>
        <w:t xml:space="preserve"> au sein du Groupe de travail 4 sur la sensibilisation de la population, la préparation et la mitigation pendant la période intersessions ;</w:t>
      </w:r>
    </w:p>
    <w:p w14:paraId="2ACB23FA" w14:textId="27264D2F" w:rsidR="00874F6E" w:rsidRPr="00C364CB" w:rsidRDefault="00080C39" w:rsidP="00762856">
      <w:pPr>
        <w:spacing w:after="240"/>
        <w:jc w:val="both"/>
        <w:rPr>
          <w:lang w:val="fr-FR"/>
        </w:rPr>
      </w:pPr>
      <w:r>
        <w:rPr>
          <w:b/>
          <w:bCs/>
          <w:lang w:val="fr-FR"/>
        </w:rPr>
        <w:t>Se félicite également</w:t>
      </w:r>
      <w:r w:rsidR="00874F6E">
        <w:rPr>
          <w:b/>
          <w:bCs/>
          <w:lang w:val="fr-FR"/>
        </w:rPr>
        <w:t xml:space="preserve"> </w:t>
      </w:r>
      <w:r w:rsidR="00874F6E">
        <w:rPr>
          <w:lang w:val="fr-FR"/>
        </w:rPr>
        <w:t>des progrès accomplis par les communautés des Bouches-du-Rhône et de Cannes (France) ; de Kos (Grèce) ; d</w:t>
      </w:r>
      <w:r w:rsidR="00352609">
        <w:rPr>
          <w:lang w:val="fr-FR"/>
        </w:rPr>
        <w:t>’</w:t>
      </w:r>
      <w:r w:rsidR="00874F6E">
        <w:rPr>
          <w:lang w:val="fr-FR"/>
        </w:rPr>
        <w:t xml:space="preserve">Israël ; de </w:t>
      </w:r>
      <w:proofErr w:type="spellStart"/>
      <w:r w:rsidR="00874F6E">
        <w:rPr>
          <w:lang w:val="fr-FR"/>
        </w:rPr>
        <w:t>Minturno</w:t>
      </w:r>
      <w:proofErr w:type="spellEnd"/>
      <w:r w:rsidR="00874F6E">
        <w:rPr>
          <w:lang w:val="fr-FR"/>
        </w:rPr>
        <w:t xml:space="preserve">, de Pachino et de </w:t>
      </w:r>
      <w:proofErr w:type="spellStart"/>
      <w:r w:rsidR="00874F6E">
        <w:rPr>
          <w:lang w:val="fr-FR"/>
        </w:rPr>
        <w:t>Palmi</w:t>
      </w:r>
      <w:proofErr w:type="spellEnd"/>
      <w:r w:rsidR="00874F6E">
        <w:rPr>
          <w:lang w:val="fr-FR"/>
        </w:rPr>
        <w:t xml:space="preserve"> (Italie) ; de </w:t>
      </w:r>
      <w:proofErr w:type="spellStart"/>
      <w:r w:rsidR="00874F6E">
        <w:rPr>
          <w:lang w:val="fr-FR"/>
        </w:rPr>
        <w:t>Marsaxlokk</w:t>
      </w:r>
      <w:proofErr w:type="spellEnd"/>
      <w:r w:rsidR="00874F6E">
        <w:rPr>
          <w:lang w:val="fr-FR"/>
        </w:rPr>
        <w:t xml:space="preserve"> (Malte) ; des Açores, de Cascais, de Lagos, de Lisbonne, de Madère, de </w:t>
      </w:r>
      <w:proofErr w:type="spellStart"/>
      <w:r w:rsidR="00874F6E">
        <w:rPr>
          <w:lang w:val="fr-FR"/>
        </w:rPr>
        <w:t>Portimão</w:t>
      </w:r>
      <w:proofErr w:type="spellEnd"/>
      <w:r w:rsidR="00874F6E">
        <w:rPr>
          <w:lang w:val="fr-FR"/>
        </w:rPr>
        <w:t xml:space="preserve"> et de Setúbal (Portugal) ; de </w:t>
      </w:r>
      <w:proofErr w:type="spellStart"/>
      <w:r w:rsidR="00874F6E">
        <w:rPr>
          <w:lang w:val="fr-FR"/>
        </w:rPr>
        <w:t>Chipiona</w:t>
      </w:r>
      <w:proofErr w:type="spellEnd"/>
      <w:r w:rsidR="00874F6E">
        <w:rPr>
          <w:lang w:val="fr-FR"/>
        </w:rPr>
        <w:t xml:space="preserve"> (Espagne), </w:t>
      </w:r>
      <w:r w:rsidR="00251F22">
        <w:rPr>
          <w:lang w:val="fr-FR"/>
        </w:rPr>
        <w:t>et</w:t>
      </w:r>
      <w:r w:rsidR="00352609">
        <w:rPr>
          <w:lang w:val="fr-FR"/>
        </w:rPr>
        <w:t xml:space="preserve"> </w:t>
      </w:r>
      <w:r w:rsidR="00874F6E">
        <w:rPr>
          <w:lang w:val="fr-FR"/>
        </w:rPr>
        <w:t>de Bodrum et d</w:t>
      </w:r>
      <w:r w:rsidR="00352609">
        <w:rPr>
          <w:lang w:val="fr-FR"/>
        </w:rPr>
        <w:t>’</w:t>
      </w:r>
      <w:r w:rsidR="00874F6E">
        <w:rPr>
          <w:lang w:val="fr-FR"/>
        </w:rPr>
        <w:t>Istanbul (Turquie), qui sont de plus en plus préparé</w:t>
      </w:r>
      <w:r w:rsidR="00352609">
        <w:rPr>
          <w:lang w:val="fr-FR"/>
        </w:rPr>
        <w:t>e</w:t>
      </w:r>
      <w:r w:rsidR="00874F6E">
        <w:rPr>
          <w:lang w:val="fr-FR"/>
        </w:rPr>
        <w:t>s ou prêt</w:t>
      </w:r>
      <w:r w:rsidR="00352609">
        <w:rPr>
          <w:lang w:val="fr-FR"/>
        </w:rPr>
        <w:t>e</w:t>
      </w:r>
      <w:r w:rsidR="00874F6E">
        <w:rPr>
          <w:lang w:val="fr-FR"/>
        </w:rPr>
        <w:t>s à faire face aux tsunamis ;</w:t>
      </w:r>
    </w:p>
    <w:p w14:paraId="4E2FFD3E" w14:textId="38EBDB00" w:rsidR="00874F6E" w:rsidRPr="00C364CB" w:rsidRDefault="00FC14FE" w:rsidP="00762856">
      <w:pPr>
        <w:spacing w:after="240"/>
        <w:jc w:val="both"/>
        <w:rPr>
          <w:lang w:val="fr-FR"/>
        </w:rPr>
      </w:pPr>
      <w:r>
        <w:rPr>
          <w:b/>
          <w:bCs/>
          <w:lang w:val="fr-FR"/>
        </w:rPr>
        <w:t>Accueille avec satisfaction</w:t>
      </w:r>
      <w:r w:rsidR="00874F6E">
        <w:rPr>
          <w:b/>
          <w:bCs/>
          <w:lang w:val="fr-FR"/>
        </w:rPr>
        <w:t xml:space="preserve"> </w:t>
      </w:r>
      <w:r w:rsidR="00874F6E">
        <w:rPr>
          <w:lang w:val="fr-FR"/>
        </w:rPr>
        <w:t>la finalisation du document stratégique ICG/NEAMTWS</w:t>
      </w:r>
      <w:r w:rsidR="00352609">
        <w:rPr>
          <w:lang w:val="fr-FR"/>
        </w:rPr>
        <w:t> </w:t>
      </w:r>
      <w:r w:rsidR="00874F6E">
        <w:rPr>
          <w:lang w:val="fr-FR"/>
        </w:rPr>
        <w:t>2021</w:t>
      </w:r>
      <w:r w:rsidR="00A32F36">
        <w:rPr>
          <w:lang w:val="fr-FR"/>
        </w:rPr>
        <w:t>-</w:t>
      </w:r>
      <w:r w:rsidR="00874F6E">
        <w:rPr>
          <w:lang w:val="fr-FR"/>
        </w:rPr>
        <w:t>2030 ;</w:t>
      </w:r>
    </w:p>
    <w:p w14:paraId="2213220B" w14:textId="0F2DC34C" w:rsidR="00874F6E" w:rsidRPr="00C364CB" w:rsidRDefault="00FC14FE" w:rsidP="00762856">
      <w:pPr>
        <w:spacing w:after="240"/>
        <w:jc w:val="both"/>
        <w:rPr>
          <w:lang w:val="fr-FR"/>
        </w:rPr>
      </w:pPr>
      <w:r>
        <w:rPr>
          <w:b/>
          <w:bCs/>
          <w:lang w:val="fr-FR"/>
        </w:rPr>
        <w:t>Remercie</w:t>
      </w:r>
      <w:r w:rsidR="00874F6E">
        <w:rPr>
          <w:lang w:val="fr-FR"/>
        </w:rPr>
        <w:t xml:space="preserve"> </w:t>
      </w:r>
      <w:r>
        <w:rPr>
          <w:lang w:val="fr-FR"/>
        </w:rPr>
        <w:t xml:space="preserve">les </w:t>
      </w:r>
      <w:r w:rsidR="00874F6E">
        <w:rPr>
          <w:lang w:val="fr-FR"/>
        </w:rPr>
        <w:t>coprésidents de l</w:t>
      </w:r>
      <w:r w:rsidR="00352609">
        <w:rPr>
          <w:lang w:val="fr-FR"/>
        </w:rPr>
        <w:t>’</w:t>
      </w:r>
      <w:r w:rsidR="00874F6E">
        <w:rPr>
          <w:lang w:val="fr-FR"/>
        </w:rPr>
        <w:t>Équipe spéciale sur la documentation pour avoir établi la stratégie ICG/NEAMTWS 2021</w:t>
      </w:r>
      <w:r w:rsidR="00A32F36">
        <w:rPr>
          <w:lang w:val="fr-FR"/>
        </w:rPr>
        <w:t>-</w:t>
      </w:r>
      <w:r w:rsidR="00874F6E">
        <w:rPr>
          <w:lang w:val="fr-FR"/>
        </w:rPr>
        <w:t xml:space="preserve">2030 et </w:t>
      </w:r>
      <w:r w:rsidR="00874F6E">
        <w:rPr>
          <w:b/>
          <w:bCs/>
          <w:lang w:val="fr-FR"/>
        </w:rPr>
        <w:t>encourag</w:t>
      </w:r>
      <w:r>
        <w:rPr>
          <w:b/>
          <w:bCs/>
          <w:lang w:val="fr-FR"/>
        </w:rPr>
        <w:t>e</w:t>
      </w:r>
      <w:r w:rsidR="00874F6E">
        <w:rPr>
          <w:lang w:val="fr-FR"/>
        </w:rPr>
        <w:t xml:space="preserve"> les États membres et </w:t>
      </w:r>
      <w:r>
        <w:rPr>
          <w:lang w:val="fr-FR"/>
        </w:rPr>
        <w:t xml:space="preserve">les </w:t>
      </w:r>
      <w:r w:rsidR="00874F6E">
        <w:rPr>
          <w:lang w:val="fr-FR"/>
        </w:rPr>
        <w:t xml:space="preserve">partenaires à contribuer à </w:t>
      </w:r>
      <w:r>
        <w:rPr>
          <w:lang w:val="fr-FR"/>
        </w:rPr>
        <w:t xml:space="preserve">sa </w:t>
      </w:r>
      <w:r w:rsidR="00874F6E">
        <w:rPr>
          <w:lang w:val="fr-FR"/>
        </w:rPr>
        <w:t>mise en œuvre ;</w:t>
      </w:r>
    </w:p>
    <w:p w14:paraId="530DD6C3" w14:textId="6C7D9590" w:rsidR="00874F6E" w:rsidRPr="00C364CB" w:rsidRDefault="00FC14FE" w:rsidP="00762856">
      <w:pPr>
        <w:spacing w:after="240"/>
        <w:jc w:val="both"/>
        <w:rPr>
          <w:lang w:val="fr-FR"/>
        </w:rPr>
      </w:pPr>
      <w:r>
        <w:rPr>
          <w:b/>
          <w:bCs/>
          <w:lang w:val="fr-FR"/>
        </w:rPr>
        <w:t>Se félicite</w:t>
      </w:r>
      <w:r w:rsidR="00874F6E">
        <w:rPr>
          <w:lang w:val="fr-FR"/>
        </w:rPr>
        <w:t xml:space="preserve"> </w:t>
      </w:r>
      <w:r>
        <w:rPr>
          <w:lang w:val="fr-FR"/>
        </w:rPr>
        <w:t xml:space="preserve">de la </w:t>
      </w:r>
      <w:r w:rsidR="00874F6E">
        <w:rPr>
          <w:lang w:val="fr-FR"/>
        </w:rPr>
        <w:t xml:space="preserve">nomination </w:t>
      </w:r>
      <w:r>
        <w:rPr>
          <w:lang w:val="fr-FR"/>
        </w:rPr>
        <w:t>d’un contact national</w:t>
      </w:r>
      <w:r w:rsidR="00874F6E">
        <w:rPr>
          <w:lang w:val="fr-FR"/>
        </w:rPr>
        <w:t xml:space="preserve"> pour les tsunamis et d</w:t>
      </w:r>
      <w:r w:rsidR="00352609">
        <w:rPr>
          <w:lang w:val="fr-FR"/>
        </w:rPr>
        <w:t>’</w:t>
      </w:r>
      <w:r w:rsidR="00874F6E">
        <w:rPr>
          <w:lang w:val="fr-FR"/>
        </w:rPr>
        <w:t>un point focal pour l</w:t>
      </w:r>
      <w:r w:rsidR="00352609">
        <w:rPr>
          <w:lang w:val="fr-FR"/>
        </w:rPr>
        <w:t>’</w:t>
      </w:r>
      <w:r w:rsidR="00874F6E">
        <w:rPr>
          <w:lang w:val="fr-FR"/>
        </w:rPr>
        <w:t>alerte aux tsunamis en Libye ;</w:t>
      </w:r>
    </w:p>
    <w:p w14:paraId="54F4DDB7" w14:textId="5E851A3A" w:rsidR="00874F6E" w:rsidRPr="00C364CB" w:rsidRDefault="00FC14FE" w:rsidP="00762856">
      <w:pPr>
        <w:spacing w:after="240"/>
        <w:jc w:val="both"/>
        <w:rPr>
          <w:lang w:val="fr-FR"/>
        </w:rPr>
      </w:pPr>
      <w:r>
        <w:rPr>
          <w:b/>
          <w:bCs/>
          <w:lang w:val="fr-FR"/>
        </w:rPr>
        <w:t>Se félicite également</w:t>
      </w:r>
      <w:r w:rsidR="00874F6E">
        <w:rPr>
          <w:lang w:val="fr-FR"/>
        </w:rPr>
        <w:t xml:space="preserve"> </w:t>
      </w:r>
      <w:r>
        <w:rPr>
          <w:lang w:val="fr-FR"/>
        </w:rPr>
        <w:t xml:space="preserve">du </w:t>
      </w:r>
      <w:r w:rsidR="00874F6E">
        <w:rPr>
          <w:lang w:val="fr-FR"/>
        </w:rPr>
        <w:t>nouveau projet de la direction générale de la protection civile et des opérations d</w:t>
      </w:r>
      <w:r w:rsidR="00352609">
        <w:rPr>
          <w:lang w:val="fr-FR"/>
        </w:rPr>
        <w:t>’</w:t>
      </w:r>
      <w:r w:rsidR="00874F6E">
        <w:rPr>
          <w:lang w:val="fr-FR"/>
        </w:rPr>
        <w:t>aide humanitaire européennes (</w:t>
      </w:r>
      <w:r w:rsidR="00352609">
        <w:rPr>
          <w:lang w:val="fr-FR"/>
        </w:rPr>
        <w:t>DG-</w:t>
      </w:r>
      <w:r w:rsidR="00874F6E">
        <w:rPr>
          <w:lang w:val="fr-FR"/>
        </w:rPr>
        <w:t>ECHO) de l</w:t>
      </w:r>
      <w:r w:rsidR="00352609">
        <w:rPr>
          <w:lang w:val="fr-FR"/>
        </w:rPr>
        <w:t>’</w:t>
      </w:r>
      <w:r w:rsidR="00874F6E">
        <w:rPr>
          <w:lang w:val="fr-FR"/>
        </w:rPr>
        <w:t>Union européenne</w:t>
      </w:r>
      <w:r w:rsidR="009B363F">
        <w:rPr>
          <w:lang w:val="fr-FR"/>
        </w:rPr>
        <w:t xml:space="preserve"> intitulé</w:t>
      </w:r>
      <w:r w:rsidR="00874F6E">
        <w:rPr>
          <w:lang w:val="fr-FR"/>
        </w:rPr>
        <w:t xml:space="preserve"> </w:t>
      </w:r>
      <w:r w:rsidR="00352609">
        <w:rPr>
          <w:lang w:val="fr-FR"/>
        </w:rPr>
        <w:t>« </w:t>
      </w:r>
      <w:r w:rsidR="00874F6E">
        <w:rPr>
          <w:lang w:val="fr-FR"/>
        </w:rPr>
        <w:t>Renforcer la résilience des communautés côtières de l</w:t>
      </w:r>
      <w:r w:rsidR="00352609">
        <w:rPr>
          <w:lang w:val="fr-FR"/>
        </w:rPr>
        <w:t>’</w:t>
      </w:r>
      <w:r w:rsidR="00874F6E">
        <w:rPr>
          <w:lang w:val="fr-FR"/>
        </w:rPr>
        <w:t>Atlantique du Nord-Est et de la région méditerranéenne face à l</w:t>
      </w:r>
      <w:r w:rsidR="00352609">
        <w:rPr>
          <w:lang w:val="fr-FR"/>
        </w:rPr>
        <w:t>’</w:t>
      </w:r>
      <w:r w:rsidR="00874F6E">
        <w:rPr>
          <w:lang w:val="fr-FR"/>
        </w:rPr>
        <w:t>impact des tsunamis et autres aléas côtiers liés au niveau de la mer</w:t>
      </w:r>
      <w:r w:rsidR="00352609">
        <w:rPr>
          <w:lang w:val="fr-FR"/>
        </w:rPr>
        <w:t> »</w:t>
      </w:r>
      <w:r w:rsidR="00874F6E">
        <w:rPr>
          <w:lang w:val="fr-FR"/>
        </w:rPr>
        <w:t> ;</w:t>
      </w:r>
    </w:p>
    <w:p w14:paraId="50EA9E61" w14:textId="22D12828" w:rsidR="00874F6E" w:rsidRPr="00C364CB" w:rsidRDefault="009B363F" w:rsidP="00762856">
      <w:pPr>
        <w:spacing w:after="240"/>
        <w:jc w:val="both"/>
        <w:rPr>
          <w:color w:val="001E2E"/>
          <w:lang w:val="fr-FR"/>
        </w:rPr>
      </w:pPr>
      <w:r>
        <w:rPr>
          <w:b/>
          <w:bCs/>
          <w:lang w:val="fr-FR"/>
        </w:rPr>
        <w:t>Prend</w:t>
      </w:r>
      <w:r w:rsidR="00F94A3E">
        <w:rPr>
          <w:b/>
          <w:bCs/>
          <w:lang w:val="fr-FR"/>
        </w:rPr>
        <w:t xml:space="preserve"> note </w:t>
      </w:r>
      <w:r w:rsidR="00F94A3E">
        <w:rPr>
          <w:lang w:val="fr-FR"/>
        </w:rPr>
        <w:t>de l</w:t>
      </w:r>
      <w:r w:rsidR="00352609">
        <w:rPr>
          <w:lang w:val="fr-FR"/>
        </w:rPr>
        <w:t>’</w:t>
      </w:r>
      <w:r w:rsidR="00F94A3E">
        <w:rPr>
          <w:lang w:val="fr-FR"/>
        </w:rPr>
        <w:t xml:space="preserve">étude </w:t>
      </w:r>
      <w:r>
        <w:rPr>
          <w:lang w:val="fr-FR"/>
        </w:rPr>
        <w:t>réalisée par</w:t>
      </w:r>
      <w:r w:rsidR="00F94A3E">
        <w:rPr>
          <w:lang w:val="fr-FR"/>
        </w:rPr>
        <w:t xml:space="preserve"> le Secrétariat sur la perception des risques côtiers multiples, la résilience face à ceux-ci et les questionnaires d</w:t>
      </w:r>
      <w:r w:rsidR="00352609">
        <w:rPr>
          <w:lang w:val="fr-FR"/>
        </w:rPr>
        <w:t>’</w:t>
      </w:r>
      <w:r w:rsidR="00F94A3E">
        <w:rPr>
          <w:lang w:val="fr-FR"/>
        </w:rPr>
        <w:t>enquête, qui contribue à la mise en œuvre du nouveau projet de la DG-ECHO de l</w:t>
      </w:r>
      <w:r w:rsidR="00352609">
        <w:rPr>
          <w:lang w:val="fr-FR"/>
        </w:rPr>
        <w:t>’</w:t>
      </w:r>
      <w:r w:rsidR="00F94A3E">
        <w:rPr>
          <w:lang w:val="fr-FR"/>
        </w:rPr>
        <w:t>Union européenne</w:t>
      </w:r>
      <w:r>
        <w:rPr>
          <w:lang w:val="fr-FR"/>
        </w:rPr>
        <w:t xml:space="preserve"> intitulé</w:t>
      </w:r>
      <w:r w:rsidR="00F94A3E">
        <w:rPr>
          <w:lang w:val="fr-FR"/>
        </w:rPr>
        <w:t xml:space="preserve"> </w:t>
      </w:r>
      <w:r w:rsidR="00EC2D90">
        <w:rPr>
          <w:lang w:val="fr-FR"/>
        </w:rPr>
        <w:t>« </w:t>
      </w:r>
      <w:r w:rsidR="00352609">
        <w:rPr>
          <w:lang w:val="fr-FR"/>
        </w:rPr>
        <w:t xml:space="preserve">Compréhension et communication relatives aux tsunamis et aux autres </w:t>
      </w:r>
      <w:r>
        <w:rPr>
          <w:lang w:val="fr-FR"/>
        </w:rPr>
        <w:t xml:space="preserve">aléas </w:t>
      </w:r>
      <w:r w:rsidR="00352609">
        <w:rPr>
          <w:lang w:val="fr-FR"/>
        </w:rPr>
        <w:t>liés au niveau de la mer</w:t>
      </w:r>
      <w:r w:rsidR="00EC2D90">
        <w:rPr>
          <w:lang w:val="fr-FR"/>
        </w:rPr>
        <w:t> »</w:t>
      </w:r>
      <w:r w:rsidR="00F94A3E">
        <w:rPr>
          <w:lang w:val="fr-FR"/>
        </w:rPr>
        <w:t> ;</w:t>
      </w:r>
    </w:p>
    <w:p w14:paraId="53CAD477" w14:textId="642749E4" w:rsidR="00874F6E" w:rsidRPr="00C364CB" w:rsidRDefault="009B363F" w:rsidP="00762856">
      <w:pPr>
        <w:spacing w:after="240"/>
        <w:jc w:val="both"/>
        <w:rPr>
          <w:color w:val="001E2E"/>
          <w:lang w:val="fr-FR"/>
        </w:rPr>
      </w:pPr>
      <w:r>
        <w:rPr>
          <w:b/>
          <w:bCs/>
          <w:lang w:val="fr-FR"/>
        </w:rPr>
        <w:t>Prend note également</w:t>
      </w:r>
      <w:r w:rsidR="00874F6E">
        <w:rPr>
          <w:b/>
          <w:bCs/>
          <w:lang w:val="fr-FR"/>
        </w:rPr>
        <w:t xml:space="preserve"> </w:t>
      </w:r>
      <w:r w:rsidRPr="006A3F4C">
        <w:rPr>
          <w:bCs/>
          <w:lang w:val="fr-FR"/>
        </w:rPr>
        <w:t>de</w:t>
      </w:r>
      <w:r>
        <w:rPr>
          <w:b/>
          <w:bCs/>
          <w:lang w:val="fr-FR"/>
        </w:rPr>
        <w:t xml:space="preserve"> </w:t>
      </w:r>
      <w:r w:rsidR="00874F6E">
        <w:rPr>
          <w:lang w:val="fr-FR"/>
        </w:rPr>
        <w:t>l</w:t>
      </w:r>
      <w:r w:rsidR="00352609">
        <w:rPr>
          <w:lang w:val="fr-FR"/>
        </w:rPr>
        <w:t>’</w:t>
      </w:r>
      <w:r w:rsidR="00874F6E">
        <w:rPr>
          <w:lang w:val="fr-FR"/>
        </w:rPr>
        <w:t xml:space="preserve">aide fournie par la Commission européenne (CE) et </w:t>
      </w:r>
      <w:r>
        <w:rPr>
          <w:lang w:val="fr-FR"/>
        </w:rPr>
        <w:t xml:space="preserve">son </w:t>
      </w:r>
      <w:r w:rsidR="00874F6E">
        <w:rPr>
          <w:lang w:val="fr-FR"/>
        </w:rPr>
        <w:t xml:space="preserve">Centre commun de recherche (CCR) </w:t>
      </w:r>
      <w:r>
        <w:rPr>
          <w:lang w:val="fr-FR"/>
        </w:rPr>
        <w:t>pour le</w:t>
      </w:r>
      <w:r w:rsidR="00874F6E">
        <w:rPr>
          <w:lang w:val="fr-FR"/>
        </w:rPr>
        <w:t xml:space="preserve"> développement des capacités, y compris </w:t>
      </w:r>
      <w:r w:rsidR="007C444E">
        <w:rPr>
          <w:lang w:val="fr-FR"/>
        </w:rPr>
        <w:t>à l’appui des</w:t>
      </w:r>
      <w:r w:rsidR="00874F6E">
        <w:rPr>
          <w:lang w:val="fr-FR"/>
        </w:rPr>
        <w:t xml:space="preserve"> infrastructures, </w:t>
      </w:r>
      <w:r w:rsidR="00EC2D90">
        <w:rPr>
          <w:lang w:val="fr-FR"/>
        </w:rPr>
        <w:t xml:space="preserve">de </w:t>
      </w:r>
      <w:r w:rsidR="00874F6E">
        <w:rPr>
          <w:lang w:val="fr-FR"/>
        </w:rPr>
        <w:t xml:space="preserve">la recherche, </w:t>
      </w:r>
      <w:r w:rsidR="00EC2D90">
        <w:rPr>
          <w:lang w:val="fr-FR"/>
        </w:rPr>
        <w:t>d</w:t>
      </w:r>
      <w:r w:rsidR="00874F6E">
        <w:rPr>
          <w:lang w:val="fr-FR"/>
        </w:rPr>
        <w:t xml:space="preserve">es nouveaux instruments de mesure du niveau de la mer et </w:t>
      </w:r>
      <w:r w:rsidR="00EC2D90">
        <w:rPr>
          <w:lang w:val="fr-FR"/>
        </w:rPr>
        <w:t xml:space="preserve">de </w:t>
      </w:r>
      <w:r w:rsidR="00874F6E">
        <w:rPr>
          <w:lang w:val="fr-FR"/>
        </w:rPr>
        <w:t xml:space="preserve">la fourniture de mesures, notamment pour la phase 2 du projet </w:t>
      </w:r>
      <w:r w:rsidR="00EC2D90">
        <w:rPr>
          <w:lang w:val="fr-FR"/>
        </w:rPr>
        <w:t>« </w:t>
      </w:r>
      <w:r w:rsidR="007C444E">
        <w:rPr>
          <w:lang w:val="fr-FR"/>
        </w:rPr>
        <w:t>Dernier kilomètre</w:t>
      </w:r>
      <w:r w:rsidR="00EC2D90">
        <w:rPr>
          <w:lang w:val="fr-FR"/>
        </w:rPr>
        <w:t> »</w:t>
      </w:r>
      <w:r w:rsidR="00874F6E">
        <w:rPr>
          <w:lang w:val="fr-FR"/>
        </w:rPr>
        <w:t xml:space="preserve"> mis en œuvre à Malte, </w:t>
      </w:r>
      <w:r w:rsidR="007C444E">
        <w:rPr>
          <w:lang w:val="fr-FR"/>
        </w:rPr>
        <w:t xml:space="preserve">ainsi </w:t>
      </w:r>
      <w:r w:rsidR="007C444E">
        <w:rPr>
          <w:lang w:val="fr-FR"/>
        </w:rPr>
        <w:lastRenderedPageBreak/>
        <w:t>que de l’aide fournie</w:t>
      </w:r>
      <w:r w:rsidR="00874F6E">
        <w:rPr>
          <w:lang w:val="fr-FR"/>
        </w:rPr>
        <w:t xml:space="preserve"> pour organiser le premier exercice </w:t>
      </w:r>
      <w:r w:rsidR="007C444E">
        <w:rPr>
          <w:lang w:val="fr-FR"/>
        </w:rPr>
        <w:t xml:space="preserve">de bout en bout </w:t>
      </w:r>
      <w:r w:rsidR="00874F6E">
        <w:rPr>
          <w:lang w:val="fr-FR"/>
        </w:rPr>
        <w:t>d</w:t>
      </w:r>
      <w:r w:rsidR="00352609">
        <w:rPr>
          <w:lang w:val="fr-FR"/>
        </w:rPr>
        <w:t>’</w:t>
      </w:r>
      <w:r w:rsidR="00874F6E">
        <w:rPr>
          <w:lang w:val="fr-FR"/>
        </w:rPr>
        <w:t xml:space="preserve">alerte au tsunami à </w:t>
      </w:r>
      <w:proofErr w:type="spellStart"/>
      <w:r w:rsidR="00874F6E">
        <w:rPr>
          <w:lang w:val="fr-FR"/>
        </w:rPr>
        <w:t>Marsaxlokk</w:t>
      </w:r>
      <w:proofErr w:type="spellEnd"/>
      <w:r w:rsidR="00874F6E">
        <w:rPr>
          <w:lang w:val="fr-FR"/>
        </w:rPr>
        <w:t xml:space="preserve"> (Malte) ;</w:t>
      </w:r>
    </w:p>
    <w:p w14:paraId="2745C248" w14:textId="5C79DEB4" w:rsidR="00874F6E" w:rsidRPr="00C364CB" w:rsidRDefault="007C444E" w:rsidP="00762856">
      <w:pPr>
        <w:spacing w:after="240"/>
        <w:jc w:val="both"/>
        <w:rPr>
          <w:lang w:val="fr-FR"/>
        </w:rPr>
      </w:pPr>
      <w:r>
        <w:rPr>
          <w:b/>
          <w:bCs/>
          <w:lang w:val="fr-FR"/>
        </w:rPr>
        <w:t>Accepte</w:t>
      </w:r>
      <w:r w:rsidR="00874F6E">
        <w:rPr>
          <w:b/>
          <w:bCs/>
          <w:lang w:val="fr-FR"/>
        </w:rPr>
        <w:t xml:space="preserve"> </w:t>
      </w:r>
      <w:r w:rsidR="00874F6E">
        <w:rPr>
          <w:lang w:val="fr-FR"/>
        </w:rPr>
        <w:t xml:space="preserve">les </w:t>
      </w:r>
      <w:r>
        <w:rPr>
          <w:lang w:val="fr-FR"/>
        </w:rPr>
        <w:t xml:space="preserve">autres </w:t>
      </w:r>
      <w:r w:rsidR="00874F6E">
        <w:rPr>
          <w:lang w:val="fr-FR"/>
        </w:rPr>
        <w:t>recommandations formulées par les groupes de travail et les équipes spéciales</w:t>
      </w:r>
      <w:r>
        <w:rPr>
          <w:lang w:val="fr-FR"/>
        </w:rPr>
        <w:t>, telles qu’</w:t>
      </w:r>
      <w:r w:rsidR="00251F22">
        <w:rPr>
          <w:lang w:val="fr-FR"/>
        </w:rPr>
        <w:t>énoncées</w:t>
      </w:r>
      <w:r w:rsidR="00874F6E">
        <w:rPr>
          <w:lang w:val="fr-FR"/>
        </w:rPr>
        <w:t xml:space="preserve"> </w:t>
      </w:r>
      <w:r>
        <w:rPr>
          <w:lang w:val="fr-FR"/>
        </w:rPr>
        <w:t>dans l’</w:t>
      </w:r>
      <w:r w:rsidR="00874F6E">
        <w:rPr>
          <w:lang w:val="fr-FR"/>
        </w:rPr>
        <w:t>annexe ;</w:t>
      </w:r>
    </w:p>
    <w:p w14:paraId="3A3B10F5" w14:textId="02645BB6" w:rsidR="00874F6E" w:rsidRPr="00C364CB" w:rsidRDefault="007C444E" w:rsidP="00762856">
      <w:pPr>
        <w:spacing w:after="240"/>
        <w:jc w:val="both"/>
        <w:rPr>
          <w:lang w:val="fr-FR"/>
        </w:rPr>
      </w:pPr>
      <w:r>
        <w:rPr>
          <w:b/>
          <w:bCs/>
          <w:lang w:val="fr-FR"/>
        </w:rPr>
        <w:t>Décide</w:t>
      </w:r>
      <w:r w:rsidR="00874F6E">
        <w:rPr>
          <w:b/>
          <w:bCs/>
          <w:lang w:val="fr-FR"/>
        </w:rPr>
        <w:t xml:space="preserve"> </w:t>
      </w:r>
      <w:r w:rsidR="00874F6E">
        <w:rPr>
          <w:lang w:val="fr-FR"/>
        </w:rPr>
        <w:t>d</w:t>
      </w:r>
      <w:r w:rsidR="00352609">
        <w:rPr>
          <w:lang w:val="fr-FR"/>
        </w:rPr>
        <w:t>’</w:t>
      </w:r>
      <w:r w:rsidR="00874F6E">
        <w:rPr>
          <w:lang w:val="fr-FR"/>
        </w:rPr>
        <w:t xml:space="preserve">établir au moins </w:t>
      </w:r>
      <w:r w:rsidR="00622412">
        <w:rPr>
          <w:lang w:val="fr-FR"/>
        </w:rPr>
        <w:t>10</w:t>
      </w:r>
      <w:r w:rsidR="00874F6E">
        <w:rPr>
          <w:lang w:val="fr-FR"/>
        </w:rPr>
        <w:t xml:space="preserve"> communautés disposant de la certification </w:t>
      </w:r>
      <w:r w:rsidR="00EC2D90">
        <w:rPr>
          <w:lang w:val="fr-FR"/>
        </w:rPr>
        <w:t>« </w:t>
      </w:r>
      <w:r w:rsidR="00874F6E">
        <w:rPr>
          <w:lang w:val="fr-FR"/>
        </w:rPr>
        <w:t xml:space="preserve">Tsunami </w:t>
      </w:r>
      <w:proofErr w:type="spellStart"/>
      <w:r w:rsidR="00874F6E">
        <w:rPr>
          <w:lang w:val="fr-FR"/>
        </w:rPr>
        <w:t>Ready</w:t>
      </w:r>
      <w:proofErr w:type="spellEnd"/>
      <w:r w:rsidR="00EC2D90">
        <w:rPr>
          <w:lang w:val="fr-FR"/>
        </w:rPr>
        <w:t> »</w:t>
      </w:r>
      <w:r w:rsidR="00874F6E">
        <w:rPr>
          <w:lang w:val="fr-FR"/>
        </w:rPr>
        <w:t xml:space="preserve"> dans la région méditerranéenne au cours des deux prochaines années, </w:t>
      </w:r>
      <w:r>
        <w:rPr>
          <w:lang w:val="fr-FR"/>
        </w:rPr>
        <w:t>de façon</w:t>
      </w:r>
      <w:r w:rsidR="00874F6E">
        <w:rPr>
          <w:lang w:val="fr-FR"/>
        </w:rPr>
        <w:t xml:space="preserve"> à ce que 100 % des communautés exposées aux tsunamis soient préparées et résilientes face à ce risque d</w:t>
      </w:r>
      <w:r w:rsidR="00352609">
        <w:rPr>
          <w:lang w:val="fr-FR"/>
        </w:rPr>
        <w:t>’</w:t>
      </w:r>
      <w:r w:rsidR="00874F6E">
        <w:rPr>
          <w:lang w:val="fr-FR"/>
        </w:rPr>
        <w:t>ici à</w:t>
      </w:r>
      <w:r w:rsidR="00EE71C0">
        <w:rPr>
          <w:lang w:val="fr-FR"/>
        </w:rPr>
        <w:t> </w:t>
      </w:r>
      <w:r w:rsidR="00874F6E">
        <w:rPr>
          <w:lang w:val="fr-FR"/>
        </w:rPr>
        <w:t xml:space="preserve">2030, grâce à la mise en œuvre du Programme Tsunami </w:t>
      </w:r>
      <w:proofErr w:type="spellStart"/>
      <w:r w:rsidR="00874F6E">
        <w:rPr>
          <w:lang w:val="fr-FR"/>
        </w:rPr>
        <w:t>Ready</w:t>
      </w:r>
      <w:proofErr w:type="spellEnd"/>
      <w:r w:rsidR="00874F6E">
        <w:rPr>
          <w:lang w:val="fr-FR"/>
        </w:rPr>
        <w:t xml:space="preserve"> de l</w:t>
      </w:r>
      <w:r w:rsidR="00352609">
        <w:rPr>
          <w:lang w:val="fr-FR"/>
        </w:rPr>
        <w:t>’</w:t>
      </w:r>
      <w:r w:rsidR="00874F6E">
        <w:rPr>
          <w:lang w:val="fr-FR"/>
        </w:rPr>
        <w:t>UNESCO</w:t>
      </w:r>
      <w:r w:rsidR="00433FBC">
        <w:rPr>
          <w:lang w:val="fr-FR"/>
        </w:rPr>
        <w:t>/</w:t>
      </w:r>
      <w:r w:rsidR="00874F6E">
        <w:rPr>
          <w:lang w:val="fr-FR"/>
        </w:rPr>
        <w:t>COI et d</w:t>
      </w:r>
      <w:r w:rsidR="00352609">
        <w:rPr>
          <w:lang w:val="fr-FR"/>
        </w:rPr>
        <w:t>’</w:t>
      </w:r>
      <w:r w:rsidR="00874F6E">
        <w:rPr>
          <w:lang w:val="fr-FR"/>
        </w:rPr>
        <w:t>autres initiatives ;</w:t>
      </w:r>
    </w:p>
    <w:p w14:paraId="070667D1" w14:textId="057F7E56" w:rsidR="00874F6E" w:rsidRPr="00762856" w:rsidRDefault="007C444E" w:rsidP="00762856">
      <w:pPr>
        <w:spacing w:after="240"/>
        <w:jc w:val="both"/>
      </w:pPr>
      <w:r>
        <w:rPr>
          <w:b/>
          <w:bCs/>
          <w:lang w:val="fr-FR"/>
        </w:rPr>
        <w:t>Décide également</w:t>
      </w:r>
      <w:r w:rsidR="00874F6E">
        <w:rPr>
          <w:b/>
          <w:bCs/>
          <w:lang w:val="fr-FR"/>
        </w:rPr>
        <w:t> :</w:t>
      </w:r>
    </w:p>
    <w:p w14:paraId="1BC9641E" w14:textId="6E963CA9" w:rsidR="00874F6E" w:rsidRPr="000E4408" w:rsidRDefault="00874F6E" w:rsidP="006A3F4C">
      <w:pPr>
        <w:numPr>
          <w:ilvl w:val="0"/>
          <w:numId w:val="2"/>
        </w:numPr>
        <w:pBdr>
          <w:top w:val="nil"/>
          <w:left w:val="nil"/>
          <w:bottom w:val="nil"/>
          <w:right w:val="nil"/>
          <w:between w:val="nil"/>
        </w:pBdr>
        <w:spacing w:after="240"/>
        <w:ind w:left="567" w:hanging="567"/>
        <w:jc w:val="both"/>
        <w:rPr>
          <w:color w:val="000000"/>
          <w:lang w:val="fr-FR"/>
        </w:rPr>
      </w:pPr>
      <w:r>
        <w:rPr>
          <w:lang w:val="fr-FR"/>
        </w:rPr>
        <w:t>de poursuivre les activités fusionnées des Groupes de travail 2 et 3</w:t>
      </w:r>
      <w:r w:rsidR="007C444E">
        <w:rPr>
          <w:lang w:val="fr-FR"/>
        </w:rPr>
        <w:t>,</w:t>
      </w:r>
      <w:r>
        <w:rPr>
          <w:lang w:val="fr-FR"/>
        </w:rPr>
        <w:t xml:space="preserve"> conformément au mandat révisé (annexe 1 à la décision ICG/NEAMTWS-XVII.1) ;</w:t>
      </w:r>
    </w:p>
    <w:p w14:paraId="1812864D" w14:textId="6FAE9617" w:rsidR="00874F6E" w:rsidRPr="000E4408" w:rsidRDefault="00874F6E" w:rsidP="006A3F4C">
      <w:pPr>
        <w:numPr>
          <w:ilvl w:val="0"/>
          <w:numId w:val="2"/>
        </w:numPr>
        <w:pBdr>
          <w:top w:val="nil"/>
          <w:left w:val="nil"/>
          <w:bottom w:val="nil"/>
          <w:right w:val="nil"/>
          <w:between w:val="nil"/>
        </w:pBdr>
        <w:spacing w:after="240"/>
        <w:ind w:left="567" w:hanging="567"/>
        <w:jc w:val="both"/>
        <w:rPr>
          <w:color w:val="000000"/>
          <w:lang w:val="fr-FR"/>
        </w:rPr>
      </w:pPr>
      <w:r>
        <w:rPr>
          <w:lang w:val="fr-FR"/>
        </w:rPr>
        <w:t>de maintenir l</w:t>
      </w:r>
      <w:r w:rsidR="00352609">
        <w:rPr>
          <w:lang w:val="fr-FR"/>
        </w:rPr>
        <w:t>’</w:t>
      </w:r>
      <w:r>
        <w:rPr>
          <w:lang w:val="fr-FR"/>
        </w:rPr>
        <w:t>Équipe spéciale sur la documentation avec un mandat révisé (annexe 2 à la décision</w:t>
      </w:r>
      <w:r w:rsidR="00EE71C0">
        <w:rPr>
          <w:lang w:val="fr-FR"/>
        </w:rPr>
        <w:t> </w:t>
      </w:r>
      <w:r>
        <w:rPr>
          <w:lang w:val="fr-FR"/>
        </w:rPr>
        <w:t>ICG/NEAMTWS-XVII.1)</w:t>
      </w:r>
      <w:r w:rsidR="00EE71C0">
        <w:rPr>
          <w:lang w:val="fr-FR"/>
        </w:rPr>
        <w:t> </w:t>
      </w:r>
      <w:r>
        <w:rPr>
          <w:lang w:val="fr-FR"/>
        </w:rPr>
        <w:t>;</w:t>
      </w:r>
    </w:p>
    <w:p w14:paraId="19B702AE" w14:textId="236D505B" w:rsidR="00874F6E" w:rsidRPr="000E4408" w:rsidRDefault="00874F6E" w:rsidP="006A3F4C">
      <w:pPr>
        <w:numPr>
          <w:ilvl w:val="0"/>
          <w:numId w:val="2"/>
        </w:numPr>
        <w:pBdr>
          <w:top w:val="nil"/>
          <w:left w:val="nil"/>
          <w:bottom w:val="nil"/>
          <w:right w:val="nil"/>
          <w:between w:val="nil"/>
        </w:pBdr>
        <w:spacing w:after="240"/>
        <w:ind w:left="567" w:hanging="567"/>
        <w:jc w:val="both"/>
        <w:rPr>
          <w:color w:val="000000"/>
          <w:lang w:val="fr-FR"/>
        </w:rPr>
      </w:pPr>
      <w:r>
        <w:rPr>
          <w:lang w:val="fr-FR"/>
        </w:rPr>
        <w:t>de maintenir l</w:t>
      </w:r>
      <w:r w:rsidR="00352609">
        <w:rPr>
          <w:lang w:val="fr-FR"/>
        </w:rPr>
        <w:t>’</w:t>
      </w:r>
      <w:r>
        <w:rPr>
          <w:lang w:val="fr-FR"/>
        </w:rPr>
        <w:t>Équipe spéciale sur les exercices d</w:t>
      </w:r>
      <w:r w:rsidR="00352609">
        <w:rPr>
          <w:lang w:val="fr-FR"/>
        </w:rPr>
        <w:t>’</w:t>
      </w:r>
      <w:r>
        <w:rPr>
          <w:lang w:val="fr-FR"/>
        </w:rPr>
        <w:t>alerte aux tsunamis avec un mandat révisé (annexe 3 à la décision ICG/NEAMTWS-XVII.1) ;</w:t>
      </w:r>
    </w:p>
    <w:p w14:paraId="1CEE845C" w14:textId="115D4751" w:rsidR="00874F6E" w:rsidRPr="000E4408" w:rsidRDefault="00874F6E" w:rsidP="006A3F4C">
      <w:pPr>
        <w:numPr>
          <w:ilvl w:val="0"/>
          <w:numId w:val="2"/>
        </w:numPr>
        <w:pBdr>
          <w:top w:val="nil"/>
          <w:left w:val="nil"/>
          <w:bottom w:val="nil"/>
          <w:right w:val="nil"/>
          <w:between w:val="nil"/>
        </w:pBdr>
        <w:spacing w:after="240"/>
        <w:ind w:left="567" w:hanging="567"/>
        <w:jc w:val="both"/>
        <w:rPr>
          <w:color w:val="000000"/>
          <w:lang w:val="fr-FR"/>
        </w:rPr>
      </w:pPr>
      <w:r>
        <w:rPr>
          <w:lang w:val="fr-FR"/>
        </w:rPr>
        <w:t>de poursuivre les activités de l</w:t>
      </w:r>
      <w:r w:rsidR="00352609">
        <w:rPr>
          <w:lang w:val="fr-FR"/>
        </w:rPr>
        <w:t>’</w:t>
      </w:r>
      <w:r>
        <w:rPr>
          <w:lang w:val="fr-FR"/>
        </w:rPr>
        <w:t>Équipe spéciale sur les opérations avec un mandat révisé (annexe 4 à la décision ICG/NEAMTWS-XVII.1) ;</w:t>
      </w:r>
    </w:p>
    <w:p w14:paraId="05588B47" w14:textId="0102A7F3" w:rsidR="00874F6E" w:rsidRPr="000E4408" w:rsidRDefault="00F050AF" w:rsidP="006A3F4C">
      <w:pPr>
        <w:numPr>
          <w:ilvl w:val="0"/>
          <w:numId w:val="2"/>
        </w:numPr>
        <w:pBdr>
          <w:top w:val="nil"/>
          <w:left w:val="nil"/>
          <w:bottom w:val="nil"/>
          <w:right w:val="nil"/>
          <w:between w:val="nil"/>
        </w:pBdr>
        <w:spacing w:after="240"/>
        <w:ind w:left="567" w:hanging="567"/>
        <w:jc w:val="both"/>
        <w:rPr>
          <w:color w:val="000000"/>
          <w:lang w:val="fr-FR"/>
        </w:rPr>
      </w:pPr>
      <w:r>
        <w:rPr>
          <w:lang w:val="fr-FR"/>
        </w:rPr>
        <w:t>de créer officiellement</w:t>
      </w:r>
      <w:r w:rsidR="00874F6E">
        <w:rPr>
          <w:lang w:val="fr-FR"/>
        </w:rPr>
        <w:t xml:space="preserve"> une équipe spéciale sur le Programme Tsunami </w:t>
      </w:r>
      <w:proofErr w:type="spellStart"/>
      <w:r w:rsidR="00874F6E">
        <w:rPr>
          <w:lang w:val="fr-FR"/>
        </w:rPr>
        <w:t>Ready</w:t>
      </w:r>
      <w:proofErr w:type="spellEnd"/>
      <w:r w:rsidR="00874F6E">
        <w:rPr>
          <w:lang w:val="fr-FR"/>
        </w:rPr>
        <w:t xml:space="preserve"> </w:t>
      </w:r>
      <w:r w:rsidR="008836FD">
        <w:rPr>
          <w:lang w:val="fr-FR"/>
        </w:rPr>
        <w:t xml:space="preserve">et de définir son </w:t>
      </w:r>
      <w:r w:rsidR="00874F6E">
        <w:rPr>
          <w:lang w:val="fr-FR"/>
        </w:rPr>
        <w:t>mandat (annexe</w:t>
      </w:r>
      <w:r w:rsidR="00EE71C0">
        <w:rPr>
          <w:lang w:val="fr-FR"/>
        </w:rPr>
        <w:t> </w:t>
      </w:r>
      <w:r w:rsidR="00874F6E">
        <w:rPr>
          <w:lang w:val="fr-FR"/>
        </w:rPr>
        <w:t>5 à la décision ICG/NEAMTWS-XVII.1) ;</w:t>
      </w:r>
    </w:p>
    <w:p w14:paraId="30E3CBB4" w14:textId="1F256BFF" w:rsidR="00874F6E" w:rsidRPr="000E4408" w:rsidRDefault="00874F6E" w:rsidP="006A3F4C">
      <w:pPr>
        <w:numPr>
          <w:ilvl w:val="0"/>
          <w:numId w:val="2"/>
        </w:numPr>
        <w:pBdr>
          <w:top w:val="nil"/>
          <w:left w:val="nil"/>
          <w:bottom w:val="nil"/>
          <w:right w:val="nil"/>
          <w:between w:val="nil"/>
        </w:pBdr>
        <w:spacing w:after="240"/>
        <w:ind w:left="567" w:hanging="567"/>
        <w:jc w:val="both"/>
        <w:rPr>
          <w:color w:val="000000"/>
          <w:lang w:val="fr-FR"/>
        </w:rPr>
      </w:pPr>
      <w:r>
        <w:rPr>
          <w:lang w:val="fr-FR"/>
        </w:rPr>
        <w:t>de poursuivre les activités du Comité directeur pendant la période intersessions</w:t>
      </w:r>
      <w:r w:rsidR="00AA37D0">
        <w:rPr>
          <w:lang w:val="fr-FR"/>
        </w:rPr>
        <w:t xml:space="preserve"> avec un</w:t>
      </w:r>
      <w:r>
        <w:rPr>
          <w:lang w:val="fr-FR"/>
        </w:rPr>
        <w:t xml:space="preserve"> mandat révisé (annexe 6 à la décision ICG/NEAMTWS-XVII.1) ; et</w:t>
      </w:r>
    </w:p>
    <w:p w14:paraId="2E0A98FA" w14:textId="550BC2E6" w:rsidR="00874F6E" w:rsidRPr="000E4408" w:rsidRDefault="00AA37D0" w:rsidP="006A3F4C">
      <w:pPr>
        <w:numPr>
          <w:ilvl w:val="0"/>
          <w:numId w:val="2"/>
        </w:numPr>
        <w:pBdr>
          <w:top w:val="nil"/>
          <w:left w:val="nil"/>
          <w:bottom w:val="nil"/>
          <w:right w:val="nil"/>
          <w:between w:val="nil"/>
        </w:pBdr>
        <w:spacing w:after="240"/>
        <w:ind w:left="567" w:hanging="567"/>
        <w:jc w:val="both"/>
        <w:rPr>
          <w:color w:val="000000"/>
          <w:lang w:val="fr-FR"/>
        </w:rPr>
      </w:pPr>
      <w:r>
        <w:rPr>
          <w:lang w:val="fr-FR"/>
        </w:rPr>
        <w:t xml:space="preserve">de conduire </w:t>
      </w:r>
      <w:r w:rsidR="00874F6E">
        <w:rPr>
          <w:lang w:val="fr-FR"/>
        </w:rPr>
        <w:t>l</w:t>
      </w:r>
      <w:r w:rsidR="00352609">
        <w:rPr>
          <w:lang w:val="fr-FR"/>
        </w:rPr>
        <w:t>’</w:t>
      </w:r>
      <w:r w:rsidR="00874F6E">
        <w:rPr>
          <w:lang w:val="fr-FR"/>
        </w:rPr>
        <w:t>exercice NEAMWave23 d</w:t>
      </w:r>
      <w:r w:rsidR="00352609">
        <w:rPr>
          <w:lang w:val="fr-FR"/>
        </w:rPr>
        <w:t>’</w:t>
      </w:r>
      <w:r w:rsidR="00874F6E">
        <w:rPr>
          <w:lang w:val="fr-FR"/>
        </w:rPr>
        <w:t>alerte aux tsunamis d</w:t>
      </w:r>
      <w:r w:rsidR="00352609">
        <w:rPr>
          <w:lang w:val="fr-FR"/>
        </w:rPr>
        <w:t>’</w:t>
      </w:r>
      <w:r w:rsidR="00874F6E">
        <w:rPr>
          <w:lang w:val="fr-FR"/>
        </w:rPr>
        <w:t>ici la première semaine de novembre 2023 ;</w:t>
      </w:r>
    </w:p>
    <w:p w14:paraId="679B6777" w14:textId="3F40CF24" w:rsidR="00874F6E" w:rsidRPr="00C364CB" w:rsidRDefault="00AA37D0" w:rsidP="00762856">
      <w:pPr>
        <w:spacing w:after="240"/>
        <w:jc w:val="both"/>
        <w:rPr>
          <w:color w:val="000000"/>
          <w:lang w:val="fr-FR"/>
        </w:rPr>
      </w:pPr>
      <w:r>
        <w:rPr>
          <w:b/>
          <w:bCs/>
          <w:lang w:val="fr-FR"/>
        </w:rPr>
        <w:t>Recommande</w:t>
      </w:r>
      <w:r w:rsidR="00874F6E">
        <w:rPr>
          <w:lang w:val="fr-FR"/>
        </w:rPr>
        <w:t xml:space="preserve"> d</w:t>
      </w:r>
      <w:r w:rsidR="00352609">
        <w:rPr>
          <w:lang w:val="fr-FR"/>
        </w:rPr>
        <w:t>’</w:t>
      </w:r>
      <w:r w:rsidR="00874F6E">
        <w:rPr>
          <w:lang w:val="fr-FR"/>
        </w:rPr>
        <w:t>accroître la participation des États membres aux activités du GIC, en mettant l</w:t>
      </w:r>
      <w:r w:rsidR="00352609">
        <w:rPr>
          <w:lang w:val="fr-FR"/>
        </w:rPr>
        <w:t>’</w:t>
      </w:r>
      <w:r w:rsidR="00874F6E">
        <w:rPr>
          <w:lang w:val="fr-FR"/>
        </w:rPr>
        <w:t>accent sur l</w:t>
      </w:r>
      <w:r w:rsidR="00352609">
        <w:rPr>
          <w:lang w:val="fr-FR"/>
        </w:rPr>
        <w:t>’</w:t>
      </w:r>
      <w:r w:rsidR="00874F6E">
        <w:rPr>
          <w:lang w:val="fr-FR"/>
        </w:rPr>
        <w:t>éducation, la sensibilisation et la préparation aux tsunamis, et de continuer à explorer et partager les données de l</w:t>
      </w:r>
      <w:r w:rsidR="00352609">
        <w:rPr>
          <w:lang w:val="fr-FR"/>
        </w:rPr>
        <w:t>’</w:t>
      </w:r>
      <w:r w:rsidR="00874F6E">
        <w:rPr>
          <w:lang w:val="fr-FR"/>
        </w:rPr>
        <w:t xml:space="preserve">expérience pilote du Programme Tsunami </w:t>
      </w:r>
      <w:proofErr w:type="spellStart"/>
      <w:r w:rsidR="00874F6E">
        <w:rPr>
          <w:lang w:val="fr-FR"/>
        </w:rPr>
        <w:t>Ready</w:t>
      </w:r>
      <w:proofErr w:type="spellEnd"/>
      <w:r w:rsidR="00874F6E">
        <w:rPr>
          <w:lang w:val="fr-FR"/>
        </w:rPr>
        <w:t xml:space="preserve"> dans la région de l</w:t>
      </w:r>
      <w:r w:rsidR="00352609">
        <w:rPr>
          <w:lang w:val="fr-FR"/>
        </w:rPr>
        <w:t>’</w:t>
      </w:r>
      <w:r w:rsidR="00874F6E">
        <w:rPr>
          <w:lang w:val="fr-FR"/>
        </w:rPr>
        <w:t>Atlantique du Nord-Est, de la Méditerranée et des mers adjacentes ;</w:t>
      </w:r>
    </w:p>
    <w:p w14:paraId="4FDD265B" w14:textId="34576CE6" w:rsidR="00874F6E" w:rsidRPr="00762856" w:rsidRDefault="00625758" w:rsidP="00762856">
      <w:pPr>
        <w:spacing w:after="240"/>
        <w:jc w:val="both"/>
        <w:rPr>
          <w:b/>
        </w:rPr>
      </w:pPr>
      <w:r>
        <w:rPr>
          <w:b/>
          <w:bCs/>
          <w:lang w:val="fr-FR"/>
        </w:rPr>
        <w:t>Recommande également</w:t>
      </w:r>
      <w:r w:rsidR="00874F6E">
        <w:rPr>
          <w:b/>
          <w:bCs/>
          <w:lang w:val="fr-FR"/>
        </w:rPr>
        <w:t> :</w:t>
      </w:r>
    </w:p>
    <w:p w14:paraId="72156100" w14:textId="18F97EB6" w:rsidR="00874F6E" w:rsidRPr="000E4408" w:rsidRDefault="00874F6E" w:rsidP="006A3F4C">
      <w:pPr>
        <w:numPr>
          <w:ilvl w:val="0"/>
          <w:numId w:val="1"/>
        </w:numPr>
        <w:pBdr>
          <w:top w:val="nil"/>
          <w:left w:val="nil"/>
          <w:bottom w:val="nil"/>
          <w:right w:val="nil"/>
          <w:between w:val="nil"/>
        </w:pBdr>
        <w:spacing w:after="240"/>
        <w:ind w:left="567" w:hanging="567"/>
        <w:jc w:val="both"/>
        <w:rPr>
          <w:color w:val="000000"/>
          <w:lang w:val="fr-FR"/>
        </w:rPr>
      </w:pPr>
      <w:r>
        <w:rPr>
          <w:lang w:val="fr-FR"/>
        </w:rPr>
        <w:t>que chaque prestataire de services relatifs aux tsunamis (TSP) continue de fournir des informations sur le niveau de menace fondées sur leurs bonnes pratiques, notamment des matrices de décision (éventuellement différentes), des bases de données sur les scénarios ou d</w:t>
      </w:r>
      <w:r w:rsidR="00352609">
        <w:rPr>
          <w:lang w:val="fr-FR"/>
        </w:rPr>
        <w:t>’</w:t>
      </w:r>
      <w:r>
        <w:rPr>
          <w:lang w:val="fr-FR"/>
        </w:rPr>
        <w:t>autres méthodes</w:t>
      </w:r>
      <w:r w:rsidR="009868FF">
        <w:rPr>
          <w:lang w:val="fr-FR"/>
        </w:rPr>
        <w:t>,</w:t>
      </w:r>
      <w:r>
        <w:rPr>
          <w:lang w:val="fr-FR"/>
        </w:rPr>
        <w:t xml:space="preserve"> ces dernières devant être documentées dans le </w:t>
      </w:r>
      <w:hyperlink r:id="rId7" w:history="1">
        <w:r w:rsidR="00F050AF" w:rsidRPr="00F050AF">
          <w:rPr>
            <w:rStyle w:val="Hyperlink"/>
            <w:lang w:val="fr-FR"/>
          </w:rPr>
          <w:t>Guide opérationnel des utilisateurs du NEAMTWS</w:t>
        </w:r>
      </w:hyperlink>
      <w:r>
        <w:rPr>
          <w:lang w:val="fr-FR"/>
        </w:rPr>
        <w:t> ;</w:t>
      </w:r>
    </w:p>
    <w:p w14:paraId="39372513" w14:textId="389A0F9B" w:rsidR="00874F6E" w:rsidRPr="000E4408" w:rsidRDefault="003B50AD" w:rsidP="006A3F4C">
      <w:pPr>
        <w:numPr>
          <w:ilvl w:val="0"/>
          <w:numId w:val="1"/>
        </w:numPr>
        <w:pBdr>
          <w:top w:val="nil"/>
          <w:left w:val="nil"/>
          <w:bottom w:val="nil"/>
          <w:right w:val="nil"/>
          <w:between w:val="nil"/>
        </w:pBdr>
        <w:spacing w:after="240"/>
        <w:ind w:left="567" w:hanging="567"/>
        <w:jc w:val="both"/>
        <w:rPr>
          <w:color w:val="000000"/>
          <w:lang w:val="fr-FR"/>
        </w:rPr>
      </w:pPr>
      <w:r>
        <w:rPr>
          <w:lang w:val="fr-FR"/>
        </w:rPr>
        <w:t>que les points focaux pour l</w:t>
      </w:r>
      <w:r w:rsidR="00352609">
        <w:rPr>
          <w:lang w:val="fr-FR"/>
        </w:rPr>
        <w:t>’</w:t>
      </w:r>
      <w:r>
        <w:rPr>
          <w:lang w:val="fr-FR"/>
        </w:rPr>
        <w:t>alerte aux tsunamis élaborent, en lien étroit avec leur Centre national d</w:t>
      </w:r>
      <w:r w:rsidR="00352609">
        <w:rPr>
          <w:lang w:val="fr-FR"/>
        </w:rPr>
        <w:t>’</w:t>
      </w:r>
      <w:r>
        <w:rPr>
          <w:lang w:val="fr-FR"/>
        </w:rPr>
        <w:t xml:space="preserve">alerte aux tsunamis (NTWC), le cas échéant, des </w:t>
      </w:r>
      <w:r w:rsidR="00F050AF">
        <w:rPr>
          <w:lang w:val="fr-FR"/>
        </w:rPr>
        <w:t>procédures opérationnelles normalisées</w:t>
      </w:r>
      <w:r>
        <w:rPr>
          <w:lang w:val="fr-FR"/>
        </w:rPr>
        <w:t xml:space="preserve"> afin d</w:t>
      </w:r>
      <w:r w:rsidR="00352609">
        <w:rPr>
          <w:lang w:val="fr-FR"/>
        </w:rPr>
        <w:t>’</w:t>
      </w:r>
      <w:r>
        <w:rPr>
          <w:lang w:val="fr-FR"/>
        </w:rPr>
        <w:t>être en mesure de réagir de façon appropriée en cas de messages d</w:t>
      </w:r>
      <w:r w:rsidR="00352609">
        <w:rPr>
          <w:lang w:val="fr-FR"/>
        </w:rPr>
        <w:t>’</w:t>
      </w:r>
      <w:r>
        <w:rPr>
          <w:lang w:val="fr-FR"/>
        </w:rPr>
        <w:t xml:space="preserve">alerte divergents émis par les </w:t>
      </w:r>
      <w:r w:rsidR="0011260B">
        <w:rPr>
          <w:lang w:val="fr-FR"/>
        </w:rPr>
        <w:t>prestataires de services relatifs aux tsunamis (TSP)</w:t>
      </w:r>
      <w:r>
        <w:rPr>
          <w:lang w:val="fr-FR"/>
        </w:rPr>
        <w:t>, conformément au document d</w:t>
      </w:r>
      <w:r w:rsidR="00352609">
        <w:rPr>
          <w:lang w:val="fr-FR"/>
        </w:rPr>
        <w:t>’</w:t>
      </w:r>
      <w:r>
        <w:rPr>
          <w:lang w:val="fr-FR"/>
        </w:rPr>
        <w:t>orientation «</w:t>
      </w:r>
      <w:r w:rsidR="009868FF">
        <w:rPr>
          <w:lang w:val="fr-FR"/>
        </w:rPr>
        <w:t> </w:t>
      </w:r>
      <w:r>
        <w:rPr>
          <w:lang w:val="fr-FR"/>
        </w:rPr>
        <w:t xml:space="preserve">Guidelines on TSP Messages </w:t>
      </w:r>
      <w:proofErr w:type="spellStart"/>
      <w:r>
        <w:rPr>
          <w:lang w:val="fr-FR"/>
        </w:rPr>
        <w:t>Uncertainty</w:t>
      </w:r>
      <w:proofErr w:type="spellEnd"/>
      <w:r w:rsidR="009868FF">
        <w:rPr>
          <w:lang w:val="fr-FR"/>
        </w:rPr>
        <w:t> </w:t>
      </w:r>
      <w:r>
        <w:rPr>
          <w:lang w:val="fr-FR"/>
        </w:rPr>
        <w:t>» élaboré par le Groupe de travail 1 en 2017 ;</w:t>
      </w:r>
    </w:p>
    <w:p w14:paraId="13962F49" w14:textId="09557ED6" w:rsidR="00874F6E" w:rsidRPr="000E4408" w:rsidRDefault="003B50AD" w:rsidP="006A3F4C">
      <w:pPr>
        <w:numPr>
          <w:ilvl w:val="0"/>
          <w:numId w:val="1"/>
        </w:numPr>
        <w:pBdr>
          <w:top w:val="nil"/>
          <w:left w:val="nil"/>
          <w:bottom w:val="nil"/>
          <w:right w:val="nil"/>
          <w:between w:val="nil"/>
        </w:pBdr>
        <w:spacing w:after="240"/>
        <w:ind w:left="567" w:hanging="567"/>
        <w:jc w:val="both"/>
        <w:rPr>
          <w:color w:val="000000"/>
          <w:lang w:val="fr-FR"/>
        </w:rPr>
      </w:pPr>
      <w:r>
        <w:rPr>
          <w:lang w:val="fr-FR"/>
        </w:rPr>
        <w:t xml:space="preserve">que toutes les données concernant le niveau de la mer soient </w:t>
      </w:r>
      <w:r w:rsidR="0011260B">
        <w:rPr>
          <w:lang w:val="fr-FR"/>
        </w:rPr>
        <w:t xml:space="preserve">mises à la disposition des prestataires de services relatifs aux tsunamis (TSP) et des centres nationaux d’alerte aux </w:t>
      </w:r>
      <w:r w:rsidR="0011260B">
        <w:rPr>
          <w:lang w:val="fr-FR"/>
        </w:rPr>
        <w:lastRenderedPageBreak/>
        <w:t>tsunamis (NTWC)</w:t>
      </w:r>
      <w:r>
        <w:rPr>
          <w:lang w:val="fr-FR"/>
        </w:rPr>
        <w:t>, au moyen d</w:t>
      </w:r>
      <w:r w:rsidR="00352609">
        <w:rPr>
          <w:lang w:val="fr-FR"/>
        </w:rPr>
        <w:t>’</w:t>
      </w:r>
      <w:r>
        <w:rPr>
          <w:lang w:val="fr-FR"/>
        </w:rPr>
        <w:t>accords bilatéraux conclus entre ceux-ci, chaque fois que cela est possible ;</w:t>
      </w:r>
    </w:p>
    <w:p w14:paraId="03A0ADC8" w14:textId="6E46F891" w:rsidR="00874F6E" w:rsidRPr="000E4408" w:rsidRDefault="003B50AD" w:rsidP="006A3F4C">
      <w:pPr>
        <w:numPr>
          <w:ilvl w:val="0"/>
          <w:numId w:val="1"/>
        </w:numPr>
        <w:pBdr>
          <w:top w:val="nil"/>
          <w:left w:val="nil"/>
          <w:bottom w:val="nil"/>
          <w:right w:val="nil"/>
          <w:between w:val="nil"/>
        </w:pBdr>
        <w:spacing w:after="240"/>
        <w:ind w:left="567" w:hanging="567"/>
        <w:jc w:val="both"/>
        <w:rPr>
          <w:color w:val="000000"/>
          <w:lang w:val="fr-FR"/>
        </w:rPr>
      </w:pPr>
      <w:r>
        <w:rPr>
          <w:lang w:val="fr-FR"/>
        </w:rPr>
        <w:t>d</w:t>
      </w:r>
      <w:r w:rsidR="00352609">
        <w:rPr>
          <w:lang w:val="fr-FR"/>
        </w:rPr>
        <w:t>’</w:t>
      </w:r>
      <w:r>
        <w:rPr>
          <w:lang w:val="fr-FR"/>
        </w:rPr>
        <w:t>augmenter le nombre de stations sismiques et marégraphiques disponibles en Afrique du Nord et</w:t>
      </w:r>
      <w:r w:rsidR="0012770B">
        <w:rPr>
          <w:lang w:val="fr-FR"/>
        </w:rPr>
        <w:t>, en ce qui concerne les données relatives au</w:t>
      </w:r>
      <w:r>
        <w:rPr>
          <w:lang w:val="fr-FR"/>
        </w:rPr>
        <w:t xml:space="preserve"> niveau de la mer, </w:t>
      </w:r>
      <w:r w:rsidR="0012770B">
        <w:rPr>
          <w:lang w:val="fr-FR"/>
        </w:rPr>
        <w:t>s’agissant notamment des tsunamis qui se forment</w:t>
      </w:r>
      <w:r>
        <w:rPr>
          <w:lang w:val="fr-FR"/>
        </w:rPr>
        <w:t xml:space="preserve"> en dehors des zones de subduction, ou sans cause sismique, d</w:t>
      </w:r>
      <w:r w:rsidR="00352609">
        <w:rPr>
          <w:lang w:val="fr-FR"/>
        </w:rPr>
        <w:t>’</w:t>
      </w:r>
      <w:r>
        <w:rPr>
          <w:lang w:val="fr-FR"/>
        </w:rPr>
        <w:t>accroître le taux d</w:t>
      </w:r>
      <w:r w:rsidR="00352609">
        <w:rPr>
          <w:lang w:val="fr-FR"/>
        </w:rPr>
        <w:t>’</w:t>
      </w:r>
      <w:r>
        <w:rPr>
          <w:lang w:val="fr-FR"/>
        </w:rPr>
        <w:t>échantillonnage (à environ 1 échantillon par seconde) et de réduire, autant que possible, la latence à 1 minute ou moins ;</w:t>
      </w:r>
    </w:p>
    <w:p w14:paraId="46379637" w14:textId="1FDD0336" w:rsidR="00874F6E" w:rsidRPr="00C364CB" w:rsidRDefault="00625758" w:rsidP="00762856">
      <w:pPr>
        <w:spacing w:after="240"/>
        <w:jc w:val="both"/>
        <w:rPr>
          <w:lang w:val="fr-FR"/>
        </w:rPr>
      </w:pPr>
      <w:r>
        <w:rPr>
          <w:b/>
          <w:bCs/>
          <w:lang w:val="fr-FR"/>
        </w:rPr>
        <w:t>Encourage</w:t>
      </w:r>
      <w:r w:rsidR="00874F6E">
        <w:rPr>
          <w:b/>
          <w:bCs/>
          <w:lang w:val="fr-FR"/>
        </w:rPr>
        <w:t xml:space="preserve"> </w:t>
      </w:r>
      <w:r w:rsidR="00874F6E">
        <w:rPr>
          <w:lang w:val="fr-FR"/>
        </w:rPr>
        <w:t xml:space="preserve">les États membres à organiser la </w:t>
      </w:r>
      <w:r>
        <w:rPr>
          <w:lang w:val="fr-FR"/>
        </w:rPr>
        <w:t>18</w:t>
      </w:r>
      <w:r w:rsidRPr="006A3F4C">
        <w:rPr>
          <w:vertAlign w:val="superscript"/>
          <w:lang w:val="fr-FR"/>
        </w:rPr>
        <w:t>e</w:t>
      </w:r>
      <w:r w:rsidR="00874F6E">
        <w:rPr>
          <w:lang w:val="fr-FR"/>
        </w:rPr>
        <w:t> session du GIC/NEAMTWS ;</w:t>
      </w:r>
    </w:p>
    <w:p w14:paraId="5D8A9D89" w14:textId="76810D3D" w:rsidR="00874F6E" w:rsidRPr="00C364CB" w:rsidRDefault="00625758" w:rsidP="00762856">
      <w:pPr>
        <w:spacing w:after="240"/>
        <w:jc w:val="both"/>
        <w:rPr>
          <w:lang w:val="fr-FR"/>
        </w:rPr>
      </w:pPr>
      <w:r>
        <w:rPr>
          <w:b/>
          <w:bCs/>
          <w:lang w:val="fr-FR"/>
        </w:rPr>
        <w:t>Remercie</w:t>
      </w:r>
      <w:r w:rsidR="00874F6E">
        <w:rPr>
          <w:b/>
          <w:bCs/>
          <w:lang w:val="fr-FR"/>
        </w:rPr>
        <w:t xml:space="preserve"> </w:t>
      </w:r>
      <w:r w:rsidR="00874F6E">
        <w:rPr>
          <w:lang w:val="fr-FR"/>
        </w:rPr>
        <w:t xml:space="preserve">le Secrétariat pour avoir organisé la </w:t>
      </w:r>
      <w:r>
        <w:rPr>
          <w:lang w:val="fr-FR"/>
        </w:rPr>
        <w:t>17</w:t>
      </w:r>
      <w:r w:rsidRPr="006A3F4C">
        <w:rPr>
          <w:vertAlign w:val="superscript"/>
          <w:lang w:val="fr-FR"/>
        </w:rPr>
        <w:t>e</w:t>
      </w:r>
      <w:r w:rsidR="009551C7">
        <w:rPr>
          <w:lang w:val="fr-FR"/>
        </w:rPr>
        <w:t> </w:t>
      </w:r>
      <w:r w:rsidR="00874F6E">
        <w:rPr>
          <w:lang w:val="fr-FR"/>
        </w:rPr>
        <w:t>session du GIC/NEAMTWS en ligne.</w:t>
      </w:r>
    </w:p>
    <w:p w14:paraId="29CA7DA4" w14:textId="77777777" w:rsidR="00411EBD" w:rsidRPr="00C364CB" w:rsidRDefault="00411EBD" w:rsidP="00762856">
      <w:pPr>
        <w:spacing w:after="240"/>
        <w:rPr>
          <w:lang w:val="fr-FR"/>
        </w:rPr>
      </w:pPr>
    </w:p>
    <w:sectPr w:rsidR="00411EBD" w:rsidRPr="00C364CB" w:rsidSect="00A32F36">
      <w:headerReference w:type="even" r:id="rId8"/>
      <w:headerReference w:type="default" r:id="rId9"/>
      <w:footerReference w:type="default" r:id="rId10"/>
      <w:headerReference w:type="first" r:id="rId11"/>
      <w:pgSz w:w="11906" w:h="16838"/>
      <w:pgMar w:top="1418"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F1C9" w14:textId="77777777" w:rsidR="00296FB1" w:rsidRDefault="00296FB1" w:rsidP="00874F6E">
      <w:r>
        <w:separator/>
      </w:r>
    </w:p>
  </w:endnote>
  <w:endnote w:type="continuationSeparator" w:id="0">
    <w:p w14:paraId="271F96EB" w14:textId="77777777" w:rsidR="00296FB1" w:rsidRDefault="00296FB1" w:rsidP="0087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808674"/>
      <w:docPartObj>
        <w:docPartGallery w:val="Page Numbers (Bottom of Page)"/>
        <w:docPartUnique/>
      </w:docPartObj>
    </w:sdtPr>
    <w:sdtEndPr>
      <w:rPr>
        <w:noProof/>
      </w:rPr>
    </w:sdtEndPr>
    <w:sdtContent>
      <w:p w14:paraId="2CDB1DCA" w14:textId="0F0510D4" w:rsidR="00874F6E" w:rsidRDefault="00874F6E">
        <w:pPr>
          <w:pStyle w:val="Footer"/>
          <w:jc w:val="center"/>
        </w:pPr>
        <w:r>
          <w:fldChar w:fldCharType="begin"/>
        </w:r>
        <w:r>
          <w:instrText xml:space="preserve"> PAGE   \* MERGEFORMAT </w:instrText>
        </w:r>
        <w:r>
          <w:fldChar w:fldCharType="separate"/>
        </w:r>
        <w:r w:rsidR="00D06C6C">
          <w:rPr>
            <w:noProof/>
          </w:rPr>
          <w:t>1</w:t>
        </w:r>
        <w:r>
          <w:rPr>
            <w:noProof/>
          </w:rPr>
          <w:fldChar w:fldCharType="end"/>
        </w:r>
      </w:p>
    </w:sdtContent>
  </w:sdt>
  <w:p w14:paraId="6D12A6DF" w14:textId="77777777" w:rsidR="00874F6E" w:rsidRDefault="00874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0D3EF" w14:textId="77777777" w:rsidR="00296FB1" w:rsidRDefault="00296FB1" w:rsidP="00874F6E">
      <w:r>
        <w:separator/>
      </w:r>
    </w:p>
  </w:footnote>
  <w:footnote w:type="continuationSeparator" w:id="0">
    <w:p w14:paraId="6C202FA2" w14:textId="77777777" w:rsidR="00296FB1" w:rsidRDefault="00296FB1" w:rsidP="00874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F0A7" w14:textId="3CC80439" w:rsidR="00A32F36" w:rsidRDefault="00A32F36">
    <w:pPr>
      <w:pStyle w:val="Header"/>
    </w:pPr>
    <w:r>
      <w:rPr>
        <w:lang w:val="fr-FR"/>
      </w:rPr>
      <w:t xml:space="preserve">ICG/NEAMTWS-XVII/3 – page </w:t>
    </w:r>
    <w:r w:rsidRPr="00A32F36">
      <w:rPr>
        <w:lang w:val="fr-FR"/>
      </w:rPr>
      <w:fldChar w:fldCharType="begin"/>
    </w:r>
    <w:r w:rsidRPr="00A32F36">
      <w:rPr>
        <w:lang w:val="fr-FR"/>
      </w:rPr>
      <w:instrText>PAGE   \* MERGEFORMAT</w:instrText>
    </w:r>
    <w:r w:rsidRPr="00A32F36">
      <w:rPr>
        <w:lang w:val="fr-FR"/>
      </w:rPr>
      <w:fldChar w:fldCharType="separate"/>
    </w:r>
    <w:r w:rsidRPr="00A32F36">
      <w:rPr>
        <w:lang w:val="fr-FR"/>
      </w:rPr>
      <w:t>1</w:t>
    </w:r>
    <w:r w:rsidRPr="00A32F36">
      <w:rPr>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EAE0" w14:textId="2262A105" w:rsidR="00874F6E" w:rsidRDefault="00874F6E" w:rsidP="00A32F36">
    <w:pPr>
      <w:pStyle w:val="Header"/>
      <w:jc w:val="right"/>
    </w:pPr>
    <w:r>
      <w:rPr>
        <w:lang w:val="fr-FR"/>
      </w:rPr>
      <w:t>ICG/NEAMTWS-XVII/3</w:t>
    </w:r>
    <w:r w:rsidR="00A32F36">
      <w:rPr>
        <w:lang w:val="fr-FR"/>
      </w:rPr>
      <w:t xml:space="preserve"> – page </w:t>
    </w:r>
    <w:r w:rsidR="00A32F36" w:rsidRPr="00A32F36">
      <w:rPr>
        <w:lang w:val="fr-FR"/>
      </w:rPr>
      <w:fldChar w:fldCharType="begin"/>
    </w:r>
    <w:r w:rsidR="00A32F36" w:rsidRPr="00A32F36">
      <w:rPr>
        <w:lang w:val="fr-FR"/>
      </w:rPr>
      <w:instrText>PAGE   \* MERGEFORMAT</w:instrText>
    </w:r>
    <w:r w:rsidR="00A32F36" w:rsidRPr="00A32F36">
      <w:rPr>
        <w:lang w:val="fr-FR"/>
      </w:rPr>
      <w:fldChar w:fldCharType="separate"/>
    </w:r>
    <w:r w:rsidR="00A32F36">
      <w:rPr>
        <w:lang w:val="fr-FR"/>
      </w:rPr>
      <w:t>2</w:t>
    </w:r>
    <w:r w:rsidR="00A32F36" w:rsidRPr="00A32F36">
      <w:rPr>
        <w:lang w:val="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70AF" w14:textId="6056DC84" w:rsidR="00A32F36" w:rsidRDefault="00A32F36" w:rsidP="00A32F36">
    <w:pPr>
      <w:pStyle w:val="Header"/>
      <w:jc w:val="right"/>
    </w:pPr>
    <w:r>
      <w:rPr>
        <w:lang w:val="fr-FR"/>
      </w:rPr>
      <w:t>ICG/NEAMTWS-XVII/3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4BA1"/>
    <w:multiLevelType w:val="multilevel"/>
    <w:tmpl w:val="D63EA684"/>
    <w:lvl w:ilvl="0">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451E8E"/>
    <w:multiLevelType w:val="multilevel"/>
    <w:tmpl w:val="0658A1AE"/>
    <w:lvl w:ilvl="0">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10509E"/>
    <w:multiLevelType w:val="multilevel"/>
    <w:tmpl w:val="D63EA684"/>
    <w:lvl w:ilvl="0">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24E1D2F"/>
    <w:multiLevelType w:val="multilevel"/>
    <w:tmpl w:val="ED22C386"/>
    <w:lvl w:ilvl="0">
      <w:start w:val="1"/>
      <w:numFmt w:val="lowerRoman"/>
      <w:lvlText w:val="(%1)"/>
      <w:lvlJc w:val="left"/>
      <w:pPr>
        <w:ind w:left="1080" w:hanging="360"/>
      </w:pPr>
      <w:rPr>
        <w:rFonts w:ascii="Arial" w:hAnsi="Arial" w:hint="default"/>
        <w:b w:val="0"/>
        <w:i w:val="0"/>
        <w:caps w:val="0"/>
        <w:strike w:val="0"/>
        <w:dstrike w:val="0"/>
        <w:vanish w:val="0"/>
        <w:sz w:val="22"/>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567"/>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F30"/>
    <w:rsid w:val="000715B6"/>
    <w:rsid w:val="00080C39"/>
    <w:rsid w:val="000E4408"/>
    <w:rsid w:val="00106094"/>
    <w:rsid w:val="0011260B"/>
    <w:rsid w:val="0012770B"/>
    <w:rsid w:val="0015339A"/>
    <w:rsid w:val="002121AA"/>
    <w:rsid w:val="00251F22"/>
    <w:rsid w:val="00296FB1"/>
    <w:rsid w:val="00316F30"/>
    <w:rsid w:val="00352609"/>
    <w:rsid w:val="003B50AD"/>
    <w:rsid w:val="003F427D"/>
    <w:rsid w:val="00411EBD"/>
    <w:rsid w:val="00433FBC"/>
    <w:rsid w:val="0045634C"/>
    <w:rsid w:val="0057487C"/>
    <w:rsid w:val="005E3263"/>
    <w:rsid w:val="006033D8"/>
    <w:rsid w:val="00622412"/>
    <w:rsid w:val="00625758"/>
    <w:rsid w:val="006300D4"/>
    <w:rsid w:val="00646810"/>
    <w:rsid w:val="006A3F4C"/>
    <w:rsid w:val="007235D0"/>
    <w:rsid w:val="00762856"/>
    <w:rsid w:val="007A60F0"/>
    <w:rsid w:val="007C444E"/>
    <w:rsid w:val="007D2E1A"/>
    <w:rsid w:val="007D428B"/>
    <w:rsid w:val="00815688"/>
    <w:rsid w:val="00874F6E"/>
    <w:rsid w:val="008836FD"/>
    <w:rsid w:val="008A0B5E"/>
    <w:rsid w:val="008C3291"/>
    <w:rsid w:val="009551C7"/>
    <w:rsid w:val="009868FF"/>
    <w:rsid w:val="009B363F"/>
    <w:rsid w:val="009C4EF0"/>
    <w:rsid w:val="00A06728"/>
    <w:rsid w:val="00A32F36"/>
    <w:rsid w:val="00A46DC5"/>
    <w:rsid w:val="00AA37D0"/>
    <w:rsid w:val="00BE46AD"/>
    <w:rsid w:val="00C364CB"/>
    <w:rsid w:val="00C933F5"/>
    <w:rsid w:val="00D06C6C"/>
    <w:rsid w:val="00D71657"/>
    <w:rsid w:val="00DE5FD2"/>
    <w:rsid w:val="00E70DF9"/>
    <w:rsid w:val="00EC2D90"/>
    <w:rsid w:val="00EE0E88"/>
    <w:rsid w:val="00EE71C0"/>
    <w:rsid w:val="00EF5CC0"/>
    <w:rsid w:val="00F050AF"/>
    <w:rsid w:val="00F94A3E"/>
    <w:rsid w:val="00FC14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924F76"/>
  <w15:chartTrackingRefBased/>
  <w15:docId w15:val="{2C5767FB-ADF3-4C40-874E-18FDAF7E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4F6E"/>
    <w:pPr>
      <w:spacing w:after="0" w:line="240" w:lineRule="auto"/>
    </w:pPr>
    <w:rPr>
      <w:rFonts w:ascii="Arial" w:eastAsia="Arial" w:hAnsi="Arial" w:cs="Arial"/>
      <w:lang w:val="en-CA"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F6E"/>
    <w:pPr>
      <w:tabs>
        <w:tab w:val="center" w:pos="4513"/>
        <w:tab w:val="right" w:pos="9026"/>
      </w:tabs>
    </w:pPr>
  </w:style>
  <w:style w:type="character" w:customStyle="1" w:styleId="HeaderChar">
    <w:name w:val="Header Char"/>
    <w:basedOn w:val="DefaultParagraphFont"/>
    <w:link w:val="Header"/>
    <w:uiPriority w:val="99"/>
    <w:rsid w:val="00874F6E"/>
    <w:rPr>
      <w:rFonts w:ascii="Arial" w:eastAsia="Arial" w:hAnsi="Arial" w:cs="Arial"/>
      <w:lang w:val="en-CA" w:eastAsia="es-ES"/>
    </w:rPr>
  </w:style>
  <w:style w:type="paragraph" w:styleId="Footer">
    <w:name w:val="footer"/>
    <w:basedOn w:val="Normal"/>
    <w:link w:val="FooterChar"/>
    <w:uiPriority w:val="99"/>
    <w:unhideWhenUsed/>
    <w:rsid w:val="00874F6E"/>
    <w:pPr>
      <w:tabs>
        <w:tab w:val="center" w:pos="4513"/>
        <w:tab w:val="right" w:pos="9026"/>
      </w:tabs>
    </w:pPr>
  </w:style>
  <w:style w:type="character" w:customStyle="1" w:styleId="FooterChar">
    <w:name w:val="Footer Char"/>
    <w:basedOn w:val="DefaultParagraphFont"/>
    <w:link w:val="Footer"/>
    <w:uiPriority w:val="99"/>
    <w:rsid w:val="00874F6E"/>
    <w:rPr>
      <w:rFonts w:ascii="Arial" w:eastAsia="Arial" w:hAnsi="Arial" w:cs="Arial"/>
      <w:lang w:val="en-CA" w:eastAsia="es-ES"/>
    </w:rPr>
  </w:style>
  <w:style w:type="character" w:styleId="CommentReference">
    <w:name w:val="annotation reference"/>
    <w:basedOn w:val="DefaultParagraphFont"/>
    <w:uiPriority w:val="99"/>
    <w:semiHidden/>
    <w:unhideWhenUsed/>
    <w:rsid w:val="00874F6E"/>
    <w:rPr>
      <w:sz w:val="16"/>
      <w:szCs w:val="16"/>
    </w:rPr>
  </w:style>
  <w:style w:type="paragraph" w:styleId="CommentText">
    <w:name w:val="annotation text"/>
    <w:basedOn w:val="Normal"/>
    <w:link w:val="CommentTextChar"/>
    <w:uiPriority w:val="99"/>
    <w:semiHidden/>
    <w:unhideWhenUsed/>
    <w:rsid w:val="00874F6E"/>
    <w:rPr>
      <w:sz w:val="20"/>
      <w:szCs w:val="20"/>
    </w:rPr>
  </w:style>
  <w:style w:type="character" w:customStyle="1" w:styleId="CommentTextChar">
    <w:name w:val="Comment Text Char"/>
    <w:basedOn w:val="DefaultParagraphFont"/>
    <w:link w:val="CommentText"/>
    <w:uiPriority w:val="99"/>
    <w:semiHidden/>
    <w:rsid w:val="00874F6E"/>
    <w:rPr>
      <w:rFonts w:ascii="Arial" w:eastAsia="Arial" w:hAnsi="Arial" w:cs="Arial"/>
      <w:sz w:val="20"/>
      <w:szCs w:val="20"/>
      <w:lang w:val="en-CA" w:eastAsia="es-ES"/>
    </w:rPr>
  </w:style>
  <w:style w:type="paragraph" w:styleId="CommentSubject">
    <w:name w:val="annotation subject"/>
    <w:basedOn w:val="CommentText"/>
    <w:next w:val="CommentText"/>
    <w:link w:val="CommentSubjectChar"/>
    <w:uiPriority w:val="99"/>
    <w:semiHidden/>
    <w:unhideWhenUsed/>
    <w:rsid w:val="00874F6E"/>
    <w:rPr>
      <w:b/>
      <w:bCs/>
    </w:rPr>
  </w:style>
  <w:style w:type="character" w:customStyle="1" w:styleId="CommentSubjectChar">
    <w:name w:val="Comment Subject Char"/>
    <w:basedOn w:val="CommentTextChar"/>
    <w:link w:val="CommentSubject"/>
    <w:uiPriority w:val="99"/>
    <w:semiHidden/>
    <w:rsid w:val="00874F6E"/>
    <w:rPr>
      <w:rFonts w:ascii="Arial" w:eastAsia="Arial" w:hAnsi="Arial" w:cs="Arial"/>
      <w:b/>
      <w:bCs/>
      <w:sz w:val="20"/>
      <w:szCs w:val="20"/>
      <w:lang w:val="en-CA" w:eastAsia="es-ES"/>
    </w:rPr>
  </w:style>
  <w:style w:type="paragraph" w:styleId="Revision">
    <w:name w:val="Revision"/>
    <w:hidden/>
    <w:uiPriority w:val="99"/>
    <w:semiHidden/>
    <w:rsid w:val="008C3291"/>
    <w:pPr>
      <w:spacing w:after="0" w:line="240" w:lineRule="auto"/>
    </w:pPr>
    <w:rPr>
      <w:rFonts w:ascii="Arial" w:eastAsia="Arial" w:hAnsi="Arial" w:cs="Arial"/>
      <w:lang w:val="en-CA" w:eastAsia="es-ES"/>
    </w:rPr>
  </w:style>
  <w:style w:type="character" w:styleId="Hyperlink">
    <w:name w:val="Hyperlink"/>
    <w:basedOn w:val="DefaultParagraphFont"/>
    <w:uiPriority w:val="99"/>
    <w:unhideWhenUsed/>
    <w:rsid w:val="008C3291"/>
    <w:rPr>
      <w:color w:val="0563C1" w:themeColor="hyperlink"/>
      <w:u w:val="single"/>
    </w:rPr>
  </w:style>
  <w:style w:type="character" w:customStyle="1" w:styleId="Mentionnonrsolue1">
    <w:name w:val="Mention non résolue1"/>
    <w:basedOn w:val="DefaultParagraphFont"/>
    <w:uiPriority w:val="99"/>
    <w:semiHidden/>
    <w:unhideWhenUsed/>
    <w:rsid w:val="008C3291"/>
    <w:rPr>
      <w:color w:val="605E5C"/>
      <w:shd w:val="clear" w:color="auto" w:fill="E1DFDD"/>
    </w:rPr>
  </w:style>
  <w:style w:type="character" w:customStyle="1" w:styleId="Mentionnonrsolue2">
    <w:name w:val="Mention non résolue2"/>
    <w:basedOn w:val="DefaultParagraphFont"/>
    <w:uiPriority w:val="99"/>
    <w:semiHidden/>
    <w:unhideWhenUsed/>
    <w:rsid w:val="00986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gv.it/cat/images/images/documenti/NEAMTWS-OpUG-version_2_0_Fina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1074</Words>
  <Characters>6124</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Decisions and recommendations of the Integovernmental Coordination Group for the Tsunami Early Warning and Mitigation System in the North-Eastern Atlantic, Mediterranean and Connected Seas</vt: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exécutif</dc:title>
  <dc:subject/>
  <dc:creator>Boned, Patrice</dc:creator>
  <cp:keywords/>
  <dc:description/>
  <cp:lastModifiedBy>Boned, Patrice</cp:lastModifiedBy>
  <cp:revision>2</cp:revision>
  <dcterms:created xsi:type="dcterms:W3CDTF">2022-05-20T12:39:00Z</dcterms:created>
  <dcterms:modified xsi:type="dcterms:W3CDTF">2022-05-20T12:39:00Z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202201433</vt:lpwstr>
  </property>
  <property fmtid="{D5CDD505-2E9C-101B-9397-08002B2CF9AE}" pid="3" name="Language">
    <vt:lpwstr>F</vt:lpwstr>
  </property>
  <property fmtid="{D5CDD505-2E9C-101B-9397-08002B2CF9AE}" pid="4" name="TranslatedWith">
    <vt:lpwstr>Mercury</vt:lpwstr>
  </property>
  <property fmtid="{D5CDD505-2E9C-101B-9397-08002B2CF9AE}" pid="5" name="GeneratedBy">
    <vt:lpwstr>estelle.mauroy</vt:lpwstr>
  </property>
  <property fmtid="{D5CDD505-2E9C-101B-9397-08002B2CF9AE}" pid="6" name="GeneratedDate">
    <vt:lpwstr>05/17/2022 11:32:37</vt:lpwstr>
  </property>
  <property fmtid="{D5CDD505-2E9C-101B-9397-08002B2CF9AE}" pid="7" name="OriginalDocID">
    <vt:lpwstr>9b78f770-b80f-46c1-9359-fc1f126e8c49</vt:lpwstr>
  </property>
</Properties>
</file>