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6E323BE3" w14:textId="77777777">
        <w:trPr>
          <w:jc w:val="center"/>
        </w:trPr>
        <w:tc>
          <w:tcPr>
            <w:tcW w:w="7654" w:type="dxa"/>
            <w:tcMar>
              <w:top w:w="170" w:type="dxa"/>
              <w:left w:w="170" w:type="dxa"/>
              <w:bottom w:w="170" w:type="dxa"/>
              <w:right w:w="170" w:type="dxa"/>
            </w:tcMar>
          </w:tcPr>
          <w:p w14:paraId="4AAC7FCF" w14:textId="77777777" w:rsidR="00467E3F" w:rsidRPr="007278D3" w:rsidRDefault="00B83068" w:rsidP="00853565">
            <w:pPr>
              <w:pStyle w:val="Marge"/>
              <w:jc w:val="center"/>
              <w:rPr>
                <w:rFonts w:cs="Arial"/>
                <w:szCs w:val="22"/>
              </w:rPr>
            </w:pPr>
            <w:r w:rsidRPr="007278D3">
              <w:rPr>
                <w:rFonts w:cs="Arial"/>
                <w:szCs w:val="22"/>
                <w:u w:val="single"/>
              </w:rPr>
              <w:t>Summary</w:t>
            </w:r>
          </w:p>
          <w:p w14:paraId="56B00256" w14:textId="732D7A49" w:rsidR="00467E3F" w:rsidRPr="007278D3" w:rsidRDefault="002E5149" w:rsidP="00BF454A">
            <w:pPr>
              <w:pStyle w:val="Marge"/>
              <w:spacing w:after="120"/>
              <w:rPr>
                <w:rFonts w:cs="Arial"/>
                <w:szCs w:val="22"/>
              </w:rPr>
            </w:pPr>
            <w:r>
              <w:rPr>
                <w:rFonts w:cs="Arial"/>
                <w:szCs w:val="22"/>
              </w:rPr>
              <w:t>This d</w:t>
            </w:r>
            <w:r w:rsidR="00467E3F" w:rsidRPr="007278D3">
              <w:rPr>
                <w:rFonts w:cs="Arial"/>
                <w:szCs w:val="22"/>
              </w:rPr>
              <w:t xml:space="preserve">ocument </w:t>
            </w:r>
            <w:r>
              <w:rPr>
                <w:rFonts w:cs="Arial"/>
                <w:szCs w:val="22"/>
              </w:rPr>
              <w:t xml:space="preserve">was </w:t>
            </w:r>
            <w:r w:rsidR="00467E3F" w:rsidRPr="007278D3">
              <w:rPr>
                <w:rFonts w:cs="Arial"/>
                <w:szCs w:val="22"/>
              </w:rPr>
              <w:t xml:space="preserve">prepared in response to </w:t>
            </w:r>
            <w:r>
              <w:rPr>
                <w:rFonts w:cs="Arial"/>
                <w:szCs w:val="22"/>
              </w:rPr>
              <w:t xml:space="preserve">the </w:t>
            </w:r>
            <w:r w:rsidR="00467E3F" w:rsidRPr="007278D3">
              <w:rPr>
                <w:rFonts w:cs="Arial"/>
                <w:szCs w:val="22"/>
              </w:rPr>
              <w:t xml:space="preserve">Decision </w:t>
            </w:r>
            <w:r w:rsidR="00310D61" w:rsidRPr="007278D3">
              <w:rPr>
                <w:rFonts w:cs="Arial"/>
                <w:szCs w:val="22"/>
              </w:rPr>
              <w:t xml:space="preserve">IOC/EC-55/3.3 </w:t>
            </w:r>
            <w:r w:rsidR="00A27B7B">
              <w:rPr>
                <w:rFonts w:cs="Arial"/>
                <w:szCs w:val="22"/>
              </w:rPr>
              <w:t xml:space="preserve">(2022) </w:t>
            </w:r>
            <w:r w:rsidR="00310D61" w:rsidRPr="007278D3">
              <w:rPr>
                <w:rFonts w:cs="Arial"/>
                <w:szCs w:val="22"/>
              </w:rPr>
              <w:t xml:space="preserve">inviting the IOC Secretariat to </w:t>
            </w:r>
            <w:r w:rsidR="00B837CF">
              <w:rPr>
                <w:rFonts w:cs="Arial"/>
                <w:szCs w:val="22"/>
              </w:rPr>
              <w:t xml:space="preserve">seek further guidance from Member States </w:t>
            </w:r>
            <w:r w:rsidR="00BF454A">
              <w:rPr>
                <w:rFonts w:cs="Arial"/>
                <w:szCs w:val="22"/>
              </w:rPr>
              <w:t xml:space="preserve">on </w:t>
            </w:r>
            <w:r w:rsidR="00014648" w:rsidRPr="007278D3">
              <w:rPr>
                <w:rFonts w:cs="Arial"/>
                <w:szCs w:val="22"/>
              </w:rPr>
              <w:t xml:space="preserve">the </w:t>
            </w:r>
            <w:r w:rsidR="00310D61" w:rsidRPr="007278D3">
              <w:rPr>
                <w:rFonts w:cs="Arial"/>
                <w:szCs w:val="22"/>
              </w:rPr>
              <w:t xml:space="preserve">concept </w:t>
            </w:r>
            <w:r w:rsidR="00BF454A">
              <w:rPr>
                <w:rFonts w:cs="Arial"/>
                <w:szCs w:val="22"/>
              </w:rPr>
              <w:t>note for the</w:t>
            </w:r>
            <w:r w:rsidR="00310D61" w:rsidRPr="007278D3">
              <w:rPr>
                <w:rFonts w:cs="Arial"/>
                <w:szCs w:val="22"/>
              </w:rPr>
              <w:t xml:space="preserve"> </w:t>
            </w:r>
            <w:r w:rsidR="00A27B7B">
              <w:rPr>
                <w:rFonts w:cs="Arial"/>
                <w:szCs w:val="22"/>
              </w:rPr>
              <w:t xml:space="preserve">‘IOC </w:t>
            </w:r>
            <w:r w:rsidR="00310D61" w:rsidRPr="007278D3">
              <w:rPr>
                <w:rFonts w:cs="Arial"/>
                <w:szCs w:val="22"/>
              </w:rPr>
              <w:t>State of the Ocean Report</w:t>
            </w:r>
            <w:r w:rsidR="00BA00B3">
              <w:rPr>
                <w:rFonts w:cs="Arial"/>
                <w:szCs w:val="22"/>
              </w:rPr>
              <w:t>’</w:t>
            </w:r>
            <w:r w:rsidR="00BF454A">
              <w:rPr>
                <w:rFonts w:cs="Arial"/>
                <w:szCs w:val="22"/>
              </w:rPr>
              <w:t>,</w:t>
            </w:r>
            <w:r w:rsidR="00B837CF">
              <w:rPr>
                <w:rFonts w:cs="Arial"/>
                <w:szCs w:val="22"/>
              </w:rPr>
              <w:t xml:space="preserve"> </w:t>
            </w:r>
            <w:r w:rsidR="00BF454A">
              <w:rPr>
                <w:rFonts w:cs="Arial"/>
                <w:szCs w:val="22"/>
              </w:rPr>
              <w:t>which</w:t>
            </w:r>
            <w:r w:rsidR="00A27B7B">
              <w:rPr>
                <w:rFonts w:cs="Arial"/>
                <w:szCs w:val="22"/>
              </w:rPr>
              <w:t xml:space="preserve"> was first presented </w:t>
            </w:r>
            <w:r w:rsidR="003F0267">
              <w:rPr>
                <w:rFonts w:cs="Arial"/>
                <w:szCs w:val="22"/>
              </w:rPr>
              <w:t xml:space="preserve">to </w:t>
            </w:r>
            <w:r w:rsidR="003F0267" w:rsidRPr="00851D33">
              <w:t xml:space="preserve">the </w:t>
            </w:r>
            <w:r w:rsidR="003F0267">
              <w:rPr>
                <w:rFonts w:cs="Arial"/>
                <w:szCs w:val="22"/>
              </w:rPr>
              <w:t xml:space="preserve">Executive Council </w:t>
            </w:r>
            <w:r w:rsidR="00A27B7B">
              <w:rPr>
                <w:rFonts w:cs="Arial"/>
                <w:szCs w:val="22"/>
              </w:rPr>
              <w:t xml:space="preserve">in </w:t>
            </w:r>
            <w:r w:rsidR="003F0267">
              <w:rPr>
                <w:rFonts w:cs="Arial"/>
                <w:szCs w:val="22"/>
              </w:rPr>
              <w:t>2021</w:t>
            </w:r>
            <w:r w:rsidR="00310D61" w:rsidRPr="007278D3">
              <w:rPr>
                <w:rFonts w:cs="Arial"/>
                <w:szCs w:val="22"/>
              </w:rPr>
              <w:t xml:space="preserve">. </w:t>
            </w:r>
          </w:p>
          <w:p w14:paraId="39568ACA" w14:textId="6CF7F6D7" w:rsidR="00413F17" w:rsidRPr="007278D3" w:rsidRDefault="00310D61" w:rsidP="00467E3F">
            <w:pPr>
              <w:pStyle w:val="Marge"/>
              <w:spacing w:after="120"/>
              <w:rPr>
                <w:rFonts w:cs="Arial"/>
                <w:szCs w:val="22"/>
              </w:rPr>
            </w:pPr>
            <w:r w:rsidRPr="007278D3">
              <w:rPr>
                <w:rFonts w:cs="Arial"/>
                <w:szCs w:val="22"/>
              </w:rPr>
              <w:t xml:space="preserve">The IOC Assembly is invited to </w:t>
            </w:r>
            <w:r w:rsidR="00A27B7B">
              <w:rPr>
                <w:rFonts w:cs="Arial"/>
                <w:szCs w:val="22"/>
              </w:rPr>
              <w:t xml:space="preserve">review and </w:t>
            </w:r>
            <w:r w:rsidR="00014648" w:rsidRPr="007278D3">
              <w:rPr>
                <w:rFonts w:cs="Arial"/>
                <w:szCs w:val="22"/>
              </w:rPr>
              <w:t xml:space="preserve">endorse </w:t>
            </w:r>
            <w:r w:rsidRPr="007278D3">
              <w:rPr>
                <w:rFonts w:cs="Arial"/>
                <w:szCs w:val="22"/>
              </w:rPr>
              <w:t xml:space="preserve">the updated concept note, outlining the production of the upcoming edition, including </w:t>
            </w:r>
            <w:r w:rsidR="00A27B7B">
              <w:rPr>
                <w:rFonts w:cs="Arial"/>
                <w:szCs w:val="22"/>
              </w:rPr>
              <w:t xml:space="preserve">the </w:t>
            </w:r>
            <w:r w:rsidRPr="007278D3">
              <w:rPr>
                <w:rFonts w:cs="Arial"/>
                <w:szCs w:val="22"/>
              </w:rPr>
              <w:t>themes and timeline</w:t>
            </w:r>
            <w:r w:rsidR="00842BEB">
              <w:rPr>
                <w:rFonts w:cs="Arial"/>
                <w:szCs w:val="22"/>
              </w:rPr>
              <w:t xml:space="preserve"> thereof</w:t>
            </w:r>
            <w:r w:rsidRPr="007278D3">
              <w:rPr>
                <w:rFonts w:cs="Arial"/>
                <w:szCs w:val="22"/>
              </w:rPr>
              <w:t>.</w:t>
            </w:r>
            <w:r w:rsidR="00167158" w:rsidRPr="007278D3">
              <w:rPr>
                <w:rFonts w:cs="Arial"/>
                <w:szCs w:val="22"/>
              </w:rPr>
              <w:t xml:space="preserve"> </w:t>
            </w:r>
            <w:r w:rsidR="00842BEB">
              <w:rPr>
                <w:rFonts w:cs="Arial"/>
                <w:szCs w:val="22"/>
              </w:rPr>
              <w:t xml:space="preserve">Annexes remain in English only. </w:t>
            </w:r>
          </w:p>
          <w:p w14:paraId="4817304A" w14:textId="0187EC3B" w:rsidR="00467E3F" w:rsidRPr="007278D3" w:rsidRDefault="00467E3F" w:rsidP="00467E3F">
            <w:pPr>
              <w:pStyle w:val="Marge"/>
              <w:spacing w:after="120"/>
              <w:rPr>
                <w:rFonts w:cs="Arial"/>
                <w:szCs w:val="22"/>
              </w:rPr>
            </w:pPr>
            <w:r w:rsidRPr="007278D3">
              <w:rPr>
                <w:rFonts w:cs="Arial"/>
                <w:szCs w:val="22"/>
                <w:u w:val="single"/>
              </w:rPr>
              <w:t>Financial and administrative implications</w:t>
            </w:r>
            <w:r w:rsidR="00A27B7B">
              <w:rPr>
                <w:rFonts w:cs="Arial"/>
                <w:szCs w:val="22"/>
              </w:rPr>
              <w:t xml:space="preserve">: </w:t>
            </w:r>
            <w:r w:rsidRPr="007278D3">
              <w:rPr>
                <w:rFonts w:cs="Arial"/>
                <w:szCs w:val="22"/>
              </w:rPr>
              <w:t xml:space="preserve">paragraphs </w:t>
            </w:r>
            <w:r w:rsidR="00310D61" w:rsidRPr="00A67449">
              <w:rPr>
                <w:rFonts w:cs="Arial"/>
                <w:szCs w:val="22"/>
              </w:rPr>
              <w:t>1</w:t>
            </w:r>
            <w:r w:rsidR="00A67449" w:rsidRPr="00A67449">
              <w:rPr>
                <w:rFonts w:cs="Arial"/>
                <w:szCs w:val="22"/>
              </w:rPr>
              <w:t>7</w:t>
            </w:r>
            <w:r w:rsidR="00310D61" w:rsidRPr="00A67449">
              <w:rPr>
                <w:rFonts w:cs="Arial"/>
                <w:szCs w:val="22"/>
              </w:rPr>
              <w:t xml:space="preserve"> and </w:t>
            </w:r>
            <w:r w:rsidR="00A27B7B" w:rsidRPr="00A67449">
              <w:rPr>
                <w:rFonts w:cs="Arial"/>
                <w:szCs w:val="22"/>
              </w:rPr>
              <w:t>1</w:t>
            </w:r>
            <w:r w:rsidR="00A67449">
              <w:rPr>
                <w:rFonts w:cs="Arial"/>
                <w:szCs w:val="22"/>
              </w:rPr>
              <w:t>8</w:t>
            </w:r>
            <w:r w:rsidR="00310D61" w:rsidRPr="007278D3">
              <w:rPr>
                <w:rFonts w:cs="Arial"/>
                <w:szCs w:val="22"/>
              </w:rPr>
              <w:t>.</w:t>
            </w:r>
          </w:p>
          <w:p w14:paraId="079B5C57" w14:textId="5CAFEE62" w:rsidR="00737A18" w:rsidRPr="00467E3F" w:rsidRDefault="00413F17" w:rsidP="009F5D50">
            <w:pPr>
              <w:pStyle w:val="Marge"/>
              <w:spacing w:after="120"/>
              <w:rPr>
                <w:rFonts w:cs="Arial"/>
                <w:szCs w:val="22"/>
              </w:rPr>
            </w:pPr>
            <w:r w:rsidRPr="007278D3">
              <w:rPr>
                <w:rFonts w:cs="Arial"/>
                <w:szCs w:val="22"/>
                <w:u w:val="single"/>
              </w:rPr>
              <w:t>The proposed decision</w:t>
            </w:r>
            <w:r w:rsidR="00467E3F" w:rsidRPr="007278D3">
              <w:rPr>
                <w:rFonts w:cs="Arial"/>
                <w:szCs w:val="22"/>
              </w:rPr>
              <w:t xml:space="preserve"> </w:t>
            </w:r>
            <w:r w:rsidR="00853565" w:rsidRPr="007278D3">
              <w:rPr>
                <w:rFonts w:cs="Arial"/>
                <w:szCs w:val="22"/>
              </w:rPr>
              <w:t xml:space="preserve">is referenced </w:t>
            </w:r>
            <w:r w:rsidR="00B837CF">
              <w:rPr>
                <w:rFonts w:cs="Arial"/>
                <w:szCs w:val="22"/>
              </w:rPr>
              <w:t>Dec; </w:t>
            </w:r>
            <w:r w:rsidR="00A27B7B">
              <w:rPr>
                <w:lang w:val="en-US"/>
              </w:rPr>
              <w:t>A</w:t>
            </w:r>
            <w:r w:rsidR="00310D61" w:rsidRPr="007278D3">
              <w:rPr>
                <w:lang w:val="en-US"/>
              </w:rPr>
              <w:t>-32/4.2</w:t>
            </w:r>
            <w:r w:rsidR="00853565" w:rsidRPr="007278D3">
              <w:rPr>
                <w:rFonts w:cs="Arial"/>
                <w:szCs w:val="22"/>
              </w:rPr>
              <w:t xml:space="preserve"> </w:t>
            </w:r>
            <w:r w:rsidR="00467E3F" w:rsidRPr="007278D3">
              <w:rPr>
                <w:rFonts w:cs="Arial"/>
                <w:szCs w:val="22"/>
              </w:rPr>
              <w:t xml:space="preserve">in </w:t>
            </w:r>
            <w:r w:rsidR="00853565" w:rsidRPr="007278D3">
              <w:rPr>
                <w:rFonts w:cs="Arial"/>
                <w:szCs w:val="22"/>
              </w:rPr>
              <w:t xml:space="preserve">the </w:t>
            </w:r>
            <w:r w:rsidR="00C4032B" w:rsidRPr="007278D3">
              <w:rPr>
                <w:rFonts w:cs="Arial"/>
                <w:szCs w:val="22"/>
              </w:rPr>
              <w:t>Action Paper</w:t>
            </w:r>
            <w:r w:rsidR="00853565" w:rsidRPr="007278D3">
              <w:rPr>
                <w:rFonts w:cs="Arial"/>
                <w:szCs w:val="22"/>
              </w:rPr>
              <w:t xml:space="preserve"> (document </w:t>
            </w:r>
            <w:r w:rsidR="00310D61" w:rsidRPr="007278D3">
              <w:rPr>
                <w:rFonts w:cs="Arial"/>
                <w:szCs w:val="22"/>
              </w:rPr>
              <w:t>IOC-32/AP Prov.</w:t>
            </w:r>
            <w:r w:rsidR="00853565" w:rsidRPr="007278D3">
              <w:rPr>
                <w:rFonts w:cs="Arial"/>
                <w:szCs w:val="22"/>
              </w:rPr>
              <w:t>)</w:t>
            </w:r>
          </w:p>
        </w:tc>
      </w:tr>
    </w:tbl>
    <w:p w14:paraId="18305BD8" w14:textId="77777777" w:rsidR="00746B89" w:rsidRPr="006842FA" w:rsidRDefault="00746B89" w:rsidP="005D1E90">
      <w:pPr>
        <w:pStyle w:val="Heading3"/>
        <w:sectPr w:rsidR="00746B89" w:rsidRPr="006842FA" w:rsidSect="003F718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709" w:footer="680" w:gutter="0"/>
          <w:pgNumType w:start="1"/>
          <w:cols w:space="708"/>
          <w:titlePg/>
          <w:docGrid w:linePitch="360"/>
        </w:sectPr>
      </w:pPr>
    </w:p>
    <w:p w14:paraId="124021FF" w14:textId="77777777" w:rsidR="00737A18" w:rsidRDefault="009026D3" w:rsidP="005D1E90">
      <w:pPr>
        <w:pStyle w:val="Heading3"/>
      </w:pPr>
      <w:r>
        <w:lastRenderedPageBreak/>
        <w:t>Introduction</w:t>
      </w:r>
    </w:p>
    <w:p w14:paraId="4164F3C7" w14:textId="77777777" w:rsidR="0042023A" w:rsidRPr="0042023A" w:rsidRDefault="0042023A" w:rsidP="00B837CF">
      <w:pPr>
        <w:pStyle w:val="COI"/>
        <w:rPr>
          <w:lang w:val="en-US"/>
        </w:rPr>
      </w:pPr>
      <w:r w:rsidRPr="0042023A">
        <w:rPr>
          <w:lang w:val="en-US"/>
        </w:rPr>
        <w:t xml:space="preserve">In recent years, a renewed focus on the world’s ocean and appreciation of its crucial role for life on Earth, the global climate, food security, human </w:t>
      </w:r>
      <w:proofErr w:type="gramStart"/>
      <w:r w:rsidRPr="0042023A">
        <w:rPr>
          <w:lang w:val="en-US"/>
        </w:rPr>
        <w:t>health</w:t>
      </w:r>
      <w:proofErr w:type="gramEnd"/>
      <w:r w:rsidRPr="0042023A">
        <w:rPr>
          <w:lang w:val="en-US"/>
        </w:rPr>
        <w:t xml:space="preserve"> and wellbeing, as well as its contribution to the global economy, have led to an increased demand by decision-makers and society at large for relevant, strategic, current, and easily accessible information on the state of the ocean. </w:t>
      </w:r>
    </w:p>
    <w:p w14:paraId="58E8DF5A" w14:textId="13C4A47E" w:rsidR="0042023A" w:rsidRPr="0042023A" w:rsidRDefault="0042023A" w:rsidP="00B837CF">
      <w:pPr>
        <w:pStyle w:val="COI"/>
        <w:rPr>
          <w:lang w:val="en-US"/>
        </w:rPr>
      </w:pPr>
      <w:r w:rsidRPr="0042023A">
        <w:rPr>
          <w:lang w:val="en-US"/>
        </w:rPr>
        <w:t>At its 53</w:t>
      </w:r>
      <w:r w:rsidRPr="00B80530">
        <w:rPr>
          <w:vertAlign w:val="superscript"/>
          <w:lang w:val="en-US"/>
        </w:rPr>
        <w:t>rd</w:t>
      </w:r>
      <w:r w:rsidRPr="0042023A">
        <w:rPr>
          <w:lang w:val="en-US"/>
        </w:rPr>
        <w:t xml:space="preserve"> session in February 2021, the IOC Executive Council (EC) considered the proposal to prepare a periodic ‘IOC State of the Ocean Report (StOR)’ as a response to the previously mentioned increased demand for the key information on the state of the ocean (see </w:t>
      </w:r>
      <w:hyperlink r:id="rId14" w:history="1">
        <w:r w:rsidRPr="003F0267">
          <w:rPr>
            <w:rStyle w:val="Hyperlink"/>
            <w:lang w:val="en-US"/>
          </w:rPr>
          <w:t>IOC/INF</w:t>
        </w:r>
        <w:r w:rsidR="003F0267" w:rsidRPr="003F0267">
          <w:rPr>
            <w:rStyle w:val="Hyperlink"/>
            <w:lang w:val="en-US"/>
          </w:rPr>
          <w:t>-</w:t>
        </w:r>
        <w:r w:rsidRPr="003F0267">
          <w:rPr>
            <w:rStyle w:val="Hyperlink"/>
            <w:lang w:val="en-US"/>
          </w:rPr>
          <w:t>1393</w:t>
        </w:r>
      </w:hyperlink>
      <w:r w:rsidRPr="0042023A">
        <w:rPr>
          <w:lang w:val="en-US"/>
        </w:rPr>
        <w:t>)</w:t>
      </w:r>
      <w:r w:rsidR="00783B0B">
        <w:rPr>
          <w:lang w:val="en-US"/>
        </w:rPr>
        <w:t>.</w:t>
      </w:r>
      <w:r w:rsidRPr="0042023A">
        <w:rPr>
          <w:lang w:val="en-US"/>
        </w:rPr>
        <w:t xml:space="preserve"> Following the 53</w:t>
      </w:r>
      <w:r w:rsidRPr="00B80530">
        <w:rPr>
          <w:vertAlign w:val="superscript"/>
          <w:lang w:val="en-US"/>
        </w:rPr>
        <w:t>rd</w:t>
      </w:r>
      <w:r w:rsidRPr="0042023A">
        <w:rPr>
          <w:lang w:val="en-US"/>
        </w:rPr>
        <w:t xml:space="preserve"> </w:t>
      </w:r>
      <w:r w:rsidR="003F0267">
        <w:rPr>
          <w:lang w:val="en-US"/>
        </w:rPr>
        <w:t>session of the Executive Council</w:t>
      </w:r>
      <w:r w:rsidRPr="0042023A">
        <w:rPr>
          <w:lang w:val="en-US"/>
        </w:rPr>
        <w:t>, the IOC Secretariat invited Member States to express their views on the spatial and temporal scope of the report, focus areas, and style of presentation (</w:t>
      </w:r>
      <w:r w:rsidR="003F0267">
        <w:rPr>
          <w:lang w:val="en-US"/>
        </w:rPr>
        <w:t xml:space="preserve">cf. IOC Circular Letter, </w:t>
      </w:r>
      <w:hyperlink r:id="rId15" w:history="1">
        <w:r w:rsidRPr="003F0267">
          <w:rPr>
            <w:rStyle w:val="Hyperlink"/>
            <w:lang w:val="en-US"/>
          </w:rPr>
          <w:t>2843</w:t>
        </w:r>
      </w:hyperlink>
      <w:r w:rsidRPr="0042023A">
        <w:rPr>
          <w:lang w:val="en-US"/>
        </w:rPr>
        <w:t xml:space="preserve">). In parallel the IOC Secretariat convened an informal expert consultation on the StOR to further discuss </w:t>
      </w:r>
      <w:r w:rsidR="003F0267">
        <w:rPr>
          <w:lang w:val="en-US"/>
        </w:rPr>
        <w:t>its</w:t>
      </w:r>
      <w:r w:rsidRPr="0042023A">
        <w:rPr>
          <w:lang w:val="en-US"/>
        </w:rPr>
        <w:t xml:space="preserve"> main features. The results of the Member States and expert consultation are synthesized in the </w:t>
      </w:r>
      <w:hyperlink r:id="rId16" w:history="1">
        <w:r w:rsidRPr="003F0267">
          <w:rPr>
            <w:rStyle w:val="Hyperlink"/>
            <w:lang w:val="en-US"/>
          </w:rPr>
          <w:t>IOC/INF-1393</w:t>
        </w:r>
        <w:r w:rsidR="003F0267" w:rsidRPr="003F0267">
          <w:rPr>
            <w:rStyle w:val="Hyperlink"/>
            <w:lang w:val="en-US"/>
          </w:rPr>
          <w:t> </w:t>
        </w:r>
        <w:r w:rsidRPr="003F0267">
          <w:rPr>
            <w:rStyle w:val="Hyperlink"/>
            <w:lang w:val="en-US"/>
          </w:rPr>
          <w:t>Rev.</w:t>
        </w:r>
      </w:hyperlink>
      <w:r w:rsidRPr="0042023A">
        <w:rPr>
          <w:lang w:val="en-US"/>
        </w:rPr>
        <w:t xml:space="preserve"> T</w:t>
      </w:r>
      <w:r w:rsidR="003F0267" w:rsidRPr="0042023A">
        <w:rPr>
          <w:lang w:val="en-US"/>
        </w:rPr>
        <w:t xml:space="preserve">he IOC Assembly </w:t>
      </w:r>
      <w:r w:rsidRPr="0042023A">
        <w:rPr>
          <w:lang w:val="en-US"/>
        </w:rPr>
        <w:t xml:space="preserve">at </w:t>
      </w:r>
      <w:r w:rsidR="003F0267">
        <w:rPr>
          <w:lang w:val="en-US"/>
        </w:rPr>
        <w:t>its</w:t>
      </w:r>
      <w:r w:rsidRPr="0042023A">
        <w:rPr>
          <w:lang w:val="en-US"/>
        </w:rPr>
        <w:t xml:space="preserve"> 31</w:t>
      </w:r>
      <w:r w:rsidRPr="00B80530">
        <w:rPr>
          <w:vertAlign w:val="superscript"/>
          <w:lang w:val="en-US"/>
        </w:rPr>
        <w:t>st</w:t>
      </w:r>
      <w:r w:rsidRPr="0042023A">
        <w:rPr>
          <w:lang w:val="en-US"/>
        </w:rPr>
        <w:t xml:space="preserve"> session in June 2021 endorsed the production of a Pilot StOR, to be presented at the 55</w:t>
      </w:r>
      <w:r w:rsidRPr="00B80530">
        <w:rPr>
          <w:vertAlign w:val="superscript"/>
          <w:lang w:val="en-US"/>
        </w:rPr>
        <w:t>th</w:t>
      </w:r>
      <w:r w:rsidRPr="0042023A">
        <w:rPr>
          <w:lang w:val="en-US"/>
        </w:rPr>
        <w:t xml:space="preserve"> sess</w:t>
      </w:r>
      <w:r w:rsidR="00783B0B">
        <w:rPr>
          <w:lang w:val="en-US"/>
        </w:rPr>
        <w:t>ion of the IOC E</w:t>
      </w:r>
      <w:r w:rsidR="003F0267">
        <w:rPr>
          <w:lang w:val="en-US"/>
        </w:rPr>
        <w:t xml:space="preserve">xecutive </w:t>
      </w:r>
      <w:r w:rsidR="00783B0B">
        <w:rPr>
          <w:lang w:val="en-US"/>
        </w:rPr>
        <w:t>C</w:t>
      </w:r>
      <w:r w:rsidR="003F0267">
        <w:rPr>
          <w:lang w:val="en-US"/>
        </w:rPr>
        <w:t>ouncil</w:t>
      </w:r>
      <w:r w:rsidR="00783B0B">
        <w:rPr>
          <w:lang w:val="en-US"/>
        </w:rPr>
        <w:t xml:space="preserve"> in 2022.</w:t>
      </w:r>
    </w:p>
    <w:p w14:paraId="78CD532A" w14:textId="7F2D9001" w:rsidR="0042023A" w:rsidRPr="0042023A" w:rsidRDefault="003F0267" w:rsidP="00B837CF">
      <w:pPr>
        <w:pStyle w:val="COI"/>
        <w:rPr>
          <w:lang w:val="en-US"/>
        </w:rPr>
      </w:pPr>
      <w:r>
        <w:rPr>
          <w:lang w:val="en-US"/>
        </w:rPr>
        <w:t>T</w:t>
      </w:r>
      <w:r w:rsidR="0042023A" w:rsidRPr="0042023A">
        <w:rPr>
          <w:lang w:val="en-US"/>
        </w:rPr>
        <w:t xml:space="preserve">he ‘State of the Ocean Report 2022 – Pilot edition’ was presented to </w:t>
      </w:r>
      <w:r>
        <w:rPr>
          <w:lang w:val="en-US"/>
        </w:rPr>
        <w:t>the Executive Council i</w:t>
      </w:r>
      <w:r w:rsidR="0042023A" w:rsidRPr="0042023A">
        <w:rPr>
          <w:lang w:val="en-US"/>
        </w:rPr>
        <w:t>n June 2022. This first edition was structured around the ten initial Challenges of the UN Decade of Ocean Science for Sustainable Development, 2021</w:t>
      </w:r>
      <w:r w:rsidR="00BD122F">
        <w:rPr>
          <w:lang w:val="en-US"/>
        </w:rPr>
        <w:t>–</w:t>
      </w:r>
      <w:r w:rsidR="0042023A" w:rsidRPr="0042023A">
        <w:rPr>
          <w:lang w:val="en-US"/>
        </w:rPr>
        <w:t xml:space="preserve">2030, </w:t>
      </w:r>
      <w:proofErr w:type="gramStart"/>
      <w:r w:rsidR="0042023A" w:rsidRPr="0042023A">
        <w:rPr>
          <w:lang w:val="en-US"/>
        </w:rPr>
        <w:t>and also</w:t>
      </w:r>
      <w:proofErr w:type="gramEnd"/>
      <w:r w:rsidR="0042023A" w:rsidRPr="0042023A">
        <w:rPr>
          <w:lang w:val="en-US"/>
        </w:rPr>
        <w:t xml:space="preserve"> identified an urgent need for a quantitative description of the state of the ocean and the capacity to report changes. The pilot edition consists of 21 storylines and was authored by 65 authors and peer reviewed by 40 experts</w:t>
      </w:r>
      <w:r w:rsidR="00BD122F">
        <w:rPr>
          <w:lang w:val="en-US"/>
        </w:rPr>
        <w:t xml:space="preserve"> (see IOC Technical Series, </w:t>
      </w:r>
      <w:hyperlink r:id="rId17" w:history="1">
        <w:r w:rsidR="00BD122F" w:rsidRPr="00BD122F">
          <w:rPr>
            <w:rStyle w:val="Hyperlink"/>
            <w:lang w:val="en-US"/>
          </w:rPr>
          <w:t>173</w:t>
        </w:r>
      </w:hyperlink>
      <w:r w:rsidR="00BD122F">
        <w:rPr>
          <w:lang w:val="en-US"/>
        </w:rPr>
        <w:t>)</w:t>
      </w:r>
      <w:r w:rsidR="0042023A" w:rsidRPr="0042023A">
        <w:rPr>
          <w:lang w:val="en-US"/>
        </w:rPr>
        <w:t xml:space="preserve">. </w:t>
      </w:r>
      <w:r w:rsidR="00BD122F">
        <w:rPr>
          <w:lang w:val="en-US"/>
        </w:rPr>
        <w:t xml:space="preserve">The pilot edition was presented to the wider public </w:t>
      </w:r>
      <w:proofErr w:type="gramStart"/>
      <w:r w:rsidR="00BD122F">
        <w:rPr>
          <w:lang w:val="en-US"/>
        </w:rPr>
        <w:t>on the occasion of</w:t>
      </w:r>
      <w:proofErr w:type="gramEnd"/>
      <w:r w:rsidR="00BD122F">
        <w:rPr>
          <w:lang w:val="en-US"/>
        </w:rPr>
        <w:t xml:space="preserve"> the UN Ocean Conference in Lisbon (27 June–1 July 2022) shortly after the Executive Council had </w:t>
      </w:r>
      <w:r w:rsidR="0042023A" w:rsidRPr="0042023A">
        <w:rPr>
          <w:lang w:val="en-US"/>
        </w:rPr>
        <w:t xml:space="preserve">welcomed </w:t>
      </w:r>
      <w:r w:rsidR="00BD122F">
        <w:rPr>
          <w:lang w:val="en-US"/>
        </w:rPr>
        <w:t>the concept and sought further guidance from Member States</w:t>
      </w:r>
      <w:r w:rsidR="0042023A" w:rsidRPr="0042023A">
        <w:rPr>
          <w:lang w:val="en-US"/>
        </w:rPr>
        <w:t xml:space="preserve">. </w:t>
      </w:r>
    </w:p>
    <w:p w14:paraId="26FFD5D0" w14:textId="77777777" w:rsidR="00853565" w:rsidRPr="00853565" w:rsidRDefault="0042023A" w:rsidP="005D1E90">
      <w:pPr>
        <w:pStyle w:val="Heading3"/>
      </w:pPr>
      <w:r w:rsidRPr="0042023A">
        <w:t>StOR review process by IOC Member States and IOC Secretaria</w:t>
      </w:r>
      <w:r w:rsidR="006D2A3A">
        <w:t>t</w:t>
      </w:r>
    </w:p>
    <w:p w14:paraId="3FBA41FD" w14:textId="141F2B68" w:rsidR="0042023A" w:rsidRPr="007278D3" w:rsidRDefault="0042023A" w:rsidP="00B837CF">
      <w:pPr>
        <w:pStyle w:val="COI"/>
        <w:rPr>
          <w:lang w:val="en-US"/>
        </w:rPr>
      </w:pPr>
      <w:r w:rsidRPr="0042023A">
        <w:rPr>
          <w:lang w:val="en-US"/>
        </w:rPr>
        <w:t>Following the 55</w:t>
      </w:r>
      <w:r w:rsidRPr="00B80530">
        <w:rPr>
          <w:vertAlign w:val="superscript"/>
          <w:lang w:val="en-US"/>
        </w:rPr>
        <w:t>th</w:t>
      </w:r>
      <w:r w:rsidRPr="0042023A">
        <w:rPr>
          <w:lang w:val="en-US"/>
        </w:rPr>
        <w:t xml:space="preserve"> session of the </w:t>
      </w:r>
      <w:r w:rsidR="00D8503A">
        <w:rPr>
          <w:lang w:val="en-US"/>
        </w:rPr>
        <w:t>Executive Council</w:t>
      </w:r>
      <w:r w:rsidRPr="0042023A">
        <w:rPr>
          <w:lang w:val="en-US"/>
        </w:rPr>
        <w:t xml:space="preserve">, the IOC Secretariat invited Member States to provide </w:t>
      </w:r>
      <w:r w:rsidR="00D8503A">
        <w:rPr>
          <w:lang w:val="en-US"/>
        </w:rPr>
        <w:t>further</w:t>
      </w:r>
      <w:r w:rsidRPr="0042023A">
        <w:rPr>
          <w:lang w:val="en-US"/>
        </w:rPr>
        <w:t xml:space="preserve"> views on the pilot edition of the StOR and recommendations on how to improve future editions, focusing on its scope and publication frequency (</w:t>
      </w:r>
      <w:r w:rsidR="00D8503A">
        <w:rPr>
          <w:lang w:val="en-US"/>
        </w:rPr>
        <w:t xml:space="preserve">IOC Circular Letter, </w:t>
      </w:r>
      <w:hyperlink r:id="rId18" w:history="1">
        <w:r w:rsidRPr="00D8503A">
          <w:rPr>
            <w:rStyle w:val="Hyperlink"/>
            <w:lang w:val="en-US"/>
          </w:rPr>
          <w:t>2899</w:t>
        </w:r>
      </w:hyperlink>
      <w:r w:rsidRPr="0042023A">
        <w:rPr>
          <w:lang w:val="en-US"/>
        </w:rPr>
        <w:t xml:space="preserve">). </w:t>
      </w:r>
      <w:r w:rsidR="00D8503A">
        <w:rPr>
          <w:lang w:val="en-US"/>
        </w:rPr>
        <w:t>Eighteen (</w:t>
      </w:r>
      <w:r w:rsidR="002C2B0E">
        <w:rPr>
          <w:lang w:val="en-US"/>
        </w:rPr>
        <w:t>1</w:t>
      </w:r>
      <w:r w:rsidR="00D8503A">
        <w:rPr>
          <w:lang w:val="en-US"/>
        </w:rPr>
        <w:t>8)</w:t>
      </w:r>
      <w:r w:rsidRPr="0042023A">
        <w:rPr>
          <w:lang w:val="en-US"/>
        </w:rPr>
        <w:t xml:space="preserve"> IOC Member States answered this call between July and September </w:t>
      </w:r>
      <w:r w:rsidRPr="007278D3">
        <w:rPr>
          <w:lang w:val="en-US"/>
        </w:rPr>
        <w:t>2022</w:t>
      </w:r>
      <w:r w:rsidR="002E5149">
        <w:rPr>
          <w:lang w:val="en-US"/>
        </w:rPr>
        <w:t xml:space="preserve"> </w:t>
      </w:r>
      <w:r w:rsidR="002E5149" w:rsidRPr="0042023A">
        <w:rPr>
          <w:lang w:val="en-US"/>
        </w:rPr>
        <w:t>and provided advice</w:t>
      </w:r>
      <w:r w:rsidRPr="007278D3">
        <w:rPr>
          <w:lang w:val="en-US"/>
        </w:rPr>
        <w:t xml:space="preserve">. </w:t>
      </w:r>
      <w:r w:rsidR="00D8503A">
        <w:rPr>
          <w:lang w:val="en-US"/>
        </w:rPr>
        <w:t xml:space="preserve">See inputs summarized in </w:t>
      </w:r>
      <w:r w:rsidRPr="007278D3">
        <w:rPr>
          <w:lang w:val="en-US"/>
        </w:rPr>
        <w:t>Annex</w:t>
      </w:r>
      <w:r w:rsidR="004A5170">
        <w:rPr>
          <w:lang w:val="en-US"/>
        </w:rPr>
        <w:t xml:space="preserve"> 1 </w:t>
      </w:r>
      <w:r w:rsidR="00D8503A">
        <w:rPr>
          <w:lang w:val="en-US"/>
        </w:rPr>
        <w:t xml:space="preserve">to this document. </w:t>
      </w:r>
      <w:r w:rsidRPr="007278D3">
        <w:rPr>
          <w:lang w:val="en-US"/>
        </w:rPr>
        <w:t xml:space="preserve"> </w:t>
      </w:r>
    </w:p>
    <w:p w14:paraId="67824DF1" w14:textId="0AD0EB8F" w:rsidR="0042023A" w:rsidRPr="0042023A" w:rsidRDefault="0042023A" w:rsidP="00B837CF">
      <w:pPr>
        <w:pStyle w:val="COI"/>
        <w:rPr>
          <w:lang w:val="en-US"/>
        </w:rPr>
      </w:pPr>
      <w:r w:rsidRPr="0042023A">
        <w:rPr>
          <w:lang w:val="en-US"/>
        </w:rPr>
        <w:t xml:space="preserve">A </w:t>
      </w:r>
      <w:proofErr w:type="spellStart"/>
      <w:r w:rsidRPr="0042023A">
        <w:rPr>
          <w:lang w:val="en-US"/>
        </w:rPr>
        <w:t>StOR</w:t>
      </w:r>
      <w:proofErr w:type="spellEnd"/>
      <w:r w:rsidRPr="0042023A">
        <w:rPr>
          <w:lang w:val="en-US"/>
        </w:rPr>
        <w:t xml:space="preserve"> </w:t>
      </w:r>
      <w:r w:rsidR="00D8503A" w:rsidRPr="0042023A">
        <w:rPr>
          <w:lang w:val="en-US"/>
        </w:rPr>
        <w:t>Advisory Board</w:t>
      </w:r>
      <w:r w:rsidRPr="0042023A">
        <w:rPr>
          <w:lang w:val="en-US"/>
        </w:rPr>
        <w:t xml:space="preserve"> was established </w:t>
      </w:r>
      <w:r w:rsidR="002E5149">
        <w:rPr>
          <w:lang w:val="en-US"/>
        </w:rPr>
        <w:t xml:space="preserve">in the </w:t>
      </w:r>
      <w:r w:rsidRPr="0042023A">
        <w:rPr>
          <w:lang w:val="en-US"/>
        </w:rPr>
        <w:t>first quarter of 2023 to support the preparation of the revised StOR concept note and to actively guide the preparation of the next StOR edition. The StOR Advisory Board is composed of seven experts from seven IOC Member States and the IOC Secretariat</w:t>
      </w:r>
      <w:r w:rsidR="00610883">
        <w:rPr>
          <w:lang w:val="en-US"/>
        </w:rPr>
        <w:t xml:space="preserve"> (Annex 2)</w:t>
      </w:r>
      <w:r w:rsidRPr="0042023A">
        <w:rPr>
          <w:lang w:val="en-US"/>
        </w:rPr>
        <w:t xml:space="preserve">. </w:t>
      </w:r>
      <w:r w:rsidR="00D8503A" w:rsidRPr="00D8503A">
        <w:rPr>
          <w:lang w:val="en-US"/>
        </w:rPr>
        <w:t xml:space="preserve">The IOC Secretariat invited national experts, </w:t>
      </w:r>
      <w:proofErr w:type="gramStart"/>
      <w:r w:rsidR="00D8503A" w:rsidRPr="00D8503A">
        <w:rPr>
          <w:lang w:val="en-US"/>
        </w:rPr>
        <w:t>taking into account</w:t>
      </w:r>
      <w:proofErr w:type="gramEnd"/>
      <w:r w:rsidR="00D8503A" w:rsidRPr="00D8503A">
        <w:rPr>
          <w:lang w:val="en-US"/>
        </w:rPr>
        <w:t xml:space="preserve"> the representation of the different electoral groups.</w:t>
      </w:r>
      <w:r w:rsidR="00D8503A">
        <w:rPr>
          <w:lang w:val="en-US"/>
        </w:rPr>
        <w:t xml:space="preserve"> </w:t>
      </w:r>
      <w:r w:rsidR="00D8503A" w:rsidRPr="00D8503A">
        <w:rPr>
          <w:lang w:val="en-US"/>
        </w:rPr>
        <w:t xml:space="preserve">The proposed revised </w:t>
      </w:r>
      <w:r w:rsidR="002C2B0E" w:rsidRPr="0042023A">
        <w:rPr>
          <w:lang w:val="en-US"/>
        </w:rPr>
        <w:t xml:space="preserve">comments and </w:t>
      </w:r>
      <w:r w:rsidR="00D8503A">
        <w:rPr>
          <w:lang w:val="en-US"/>
        </w:rPr>
        <w:t>concept note</w:t>
      </w:r>
      <w:r w:rsidR="00D8503A" w:rsidRPr="00D8503A">
        <w:rPr>
          <w:lang w:val="en-US"/>
        </w:rPr>
        <w:t xml:space="preserve"> is the result of consultation with the Member States and the </w:t>
      </w:r>
      <w:r w:rsidR="00D8503A">
        <w:rPr>
          <w:lang w:val="en-US"/>
        </w:rPr>
        <w:t xml:space="preserve">guidance provided by </w:t>
      </w:r>
      <w:r w:rsidR="00D8503A" w:rsidRPr="00D8503A">
        <w:rPr>
          <w:lang w:val="en-US"/>
        </w:rPr>
        <w:t xml:space="preserve">the </w:t>
      </w:r>
      <w:r w:rsidR="00D8503A">
        <w:rPr>
          <w:lang w:val="en-US"/>
        </w:rPr>
        <w:t xml:space="preserve">Advisory Board. </w:t>
      </w:r>
    </w:p>
    <w:p w14:paraId="2CD67112" w14:textId="77777777" w:rsidR="0042023A" w:rsidRDefault="0042023A" w:rsidP="005D1E90">
      <w:pPr>
        <w:pStyle w:val="Heading3"/>
      </w:pPr>
      <w:r w:rsidRPr="0042023A">
        <w:t>Revised StOR objective and scope</w:t>
      </w:r>
    </w:p>
    <w:p w14:paraId="39BC7C75" w14:textId="47434C16" w:rsidR="0042023A" w:rsidRPr="0042023A" w:rsidRDefault="0042023A" w:rsidP="00B837CF">
      <w:pPr>
        <w:pStyle w:val="COI"/>
        <w:rPr>
          <w:lang w:val="en-US"/>
        </w:rPr>
      </w:pPr>
      <w:r w:rsidRPr="0042023A">
        <w:rPr>
          <w:lang w:val="en-US"/>
        </w:rPr>
        <w:t xml:space="preserve">The StOR has the ambition to </w:t>
      </w:r>
      <w:r w:rsidR="00881C79">
        <w:rPr>
          <w:lang w:val="en-US"/>
        </w:rPr>
        <w:t xml:space="preserve">(i) </w:t>
      </w:r>
      <w:r w:rsidRPr="0042023A">
        <w:rPr>
          <w:lang w:val="en-US"/>
        </w:rPr>
        <w:t>inform policy action, support decisions on research focus areas that need to be strengthened or developed</w:t>
      </w:r>
      <w:r w:rsidR="00881C79">
        <w:rPr>
          <w:lang w:val="en-US"/>
        </w:rPr>
        <w:t xml:space="preserve">, </w:t>
      </w:r>
      <w:r w:rsidRPr="0042023A">
        <w:rPr>
          <w:lang w:val="en-US"/>
        </w:rPr>
        <w:t xml:space="preserve">and </w:t>
      </w:r>
      <w:r w:rsidR="00093964">
        <w:rPr>
          <w:lang w:val="en-US"/>
        </w:rPr>
        <w:t xml:space="preserve">(ii) </w:t>
      </w:r>
      <w:r w:rsidRPr="0042023A">
        <w:rPr>
          <w:lang w:val="en-US"/>
        </w:rPr>
        <w:t xml:space="preserve">assist in the implementation of stronger science-based </w:t>
      </w:r>
      <w:r w:rsidR="002E5149">
        <w:rPr>
          <w:lang w:val="en-US"/>
        </w:rPr>
        <w:t xml:space="preserve">ocean </w:t>
      </w:r>
      <w:r w:rsidRPr="0042023A">
        <w:rPr>
          <w:lang w:val="en-US"/>
        </w:rPr>
        <w:t>governance frameworks at national and global levels.</w:t>
      </w:r>
    </w:p>
    <w:p w14:paraId="2D7A789A" w14:textId="70373CE3" w:rsidR="00881C79" w:rsidRDefault="00881C79" w:rsidP="00B837CF">
      <w:pPr>
        <w:pStyle w:val="COI"/>
        <w:rPr>
          <w:lang w:val="en-US"/>
        </w:rPr>
      </w:pPr>
      <w:r>
        <w:rPr>
          <w:lang w:val="en-US"/>
        </w:rPr>
        <w:t>According to the revised concept note, t</w:t>
      </w:r>
      <w:r w:rsidRPr="00881C79">
        <w:rPr>
          <w:lang w:val="en-US"/>
        </w:rPr>
        <w:t xml:space="preserve">he StOR will present the results of analyses of ocean-related scientific activities to describe the current and future state of the ocean, addressing physical, chemical, ecological, socio-economic and governance aspects, focusing on the </w:t>
      </w:r>
      <w:r>
        <w:rPr>
          <w:lang w:val="en-US"/>
        </w:rPr>
        <w:t>seven</w:t>
      </w:r>
      <w:r w:rsidRPr="00881C79">
        <w:rPr>
          <w:lang w:val="en-US"/>
        </w:rPr>
        <w:t xml:space="preserve"> Outcomes of the Ocean Decade, which contribute directly to the vision of the Ocean Decade and encompass the 10 Challenges of the Ocean Decade</w:t>
      </w:r>
      <w:r>
        <w:rPr>
          <w:lang w:val="en-US"/>
        </w:rPr>
        <w:t xml:space="preserve"> initially considered</w:t>
      </w:r>
      <w:r w:rsidRPr="00881C79">
        <w:rPr>
          <w:lang w:val="en-US"/>
        </w:rPr>
        <w:t>.</w:t>
      </w:r>
      <w:r>
        <w:rPr>
          <w:lang w:val="en-US"/>
        </w:rPr>
        <w:t xml:space="preserve"> </w:t>
      </w:r>
    </w:p>
    <w:p w14:paraId="01B74F07" w14:textId="0B370687" w:rsidR="007278D3" w:rsidRDefault="0042023A" w:rsidP="00B837CF">
      <w:pPr>
        <w:pStyle w:val="COI"/>
        <w:rPr>
          <w:lang w:val="en-US"/>
        </w:rPr>
      </w:pPr>
      <w:r w:rsidRPr="0042023A">
        <w:rPr>
          <w:lang w:val="en-US"/>
        </w:rPr>
        <w:lastRenderedPageBreak/>
        <w:t xml:space="preserve">The Ocean Decade Outcomes represent the </w:t>
      </w:r>
      <w:r w:rsidR="00881C79">
        <w:rPr>
          <w:lang w:val="en-US"/>
        </w:rPr>
        <w:t>main features</w:t>
      </w:r>
      <w:r w:rsidRPr="0042023A">
        <w:rPr>
          <w:lang w:val="en-US"/>
        </w:rPr>
        <w:t xml:space="preserve"> of the ‘ocean we want’ at the end of the Decade and </w:t>
      </w:r>
      <w:r w:rsidR="00F72A36">
        <w:rPr>
          <w:lang w:val="en-US"/>
        </w:rPr>
        <w:t xml:space="preserve">are therefore well suited to serve as a </w:t>
      </w:r>
      <w:r w:rsidRPr="0042023A">
        <w:rPr>
          <w:lang w:val="en-US"/>
        </w:rPr>
        <w:t xml:space="preserve">framework for </w:t>
      </w:r>
      <w:r w:rsidR="00F72A36">
        <w:rPr>
          <w:lang w:val="en-US"/>
        </w:rPr>
        <w:t>monitoring</w:t>
      </w:r>
      <w:r w:rsidRPr="0042023A">
        <w:rPr>
          <w:lang w:val="en-US"/>
        </w:rPr>
        <w:t xml:space="preserve"> the state of the ocean </w:t>
      </w:r>
      <w:r w:rsidR="00F72A36">
        <w:rPr>
          <w:lang w:val="en-US"/>
        </w:rPr>
        <w:t xml:space="preserve">during </w:t>
      </w:r>
      <w:r w:rsidRPr="0042023A">
        <w:rPr>
          <w:lang w:val="en-US"/>
        </w:rPr>
        <w:t xml:space="preserve">the Decade. Structuring the report around the Outcomes rather than the Challenges </w:t>
      </w:r>
      <w:r w:rsidR="00F72A36">
        <w:rPr>
          <w:lang w:val="en-US"/>
        </w:rPr>
        <w:t xml:space="preserve">should improve the assimilation of the results </w:t>
      </w:r>
      <w:r w:rsidRPr="0042023A">
        <w:rPr>
          <w:lang w:val="en-US"/>
        </w:rPr>
        <w:t xml:space="preserve">presented. It will strongly complement the other elements of the </w:t>
      </w:r>
      <w:r w:rsidR="00F72A36" w:rsidRPr="0042023A">
        <w:rPr>
          <w:lang w:val="en-US"/>
        </w:rPr>
        <w:t xml:space="preserve">Ocean Decade </w:t>
      </w:r>
      <w:r w:rsidRPr="0042023A">
        <w:rPr>
          <w:lang w:val="en-US"/>
        </w:rPr>
        <w:t xml:space="preserve">monitoring and evaluation framework that focus on the action-oriented </w:t>
      </w:r>
      <w:r w:rsidR="00F72A36" w:rsidRPr="0042023A">
        <w:rPr>
          <w:lang w:val="en-US"/>
        </w:rPr>
        <w:t xml:space="preserve">Challenges </w:t>
      </w:r>
      <w:r w:rsidR="00F72A36">
        <w:rPr>
          <w:lang w:val="en-US"/>
        </w:rPr>
        <w:t xml:space="preserve">of the </w:t>
      </w:r>
      <w:r w:rsidRPr="0042023A">
        <w:rPr>
          <w:lang w:val="en-US"/>
        </w:rPr>
        <w:t xml:space="preserve">Decade and the key elements of the </w:t>
      </w:r>
      <w:r w:rsidR="00F72A36" w:rsidRPr="0042023A">
        <w:rPr>
          <w:lang w:val="en-US"/>
        </w:rPr>
        <w:t xml:space="preserve">enabling environment </w:t>
      </w:r>
      <w:r w:rsidR="00F72A36">
        <w:rPr>
          <w:lang w:val="en-US"/>
        </w:rPr>
        <w:t xml:space="preserve">of the </w:t>
      </w:r>
      <w:r w:rsidRPr="0042023A">
        <w:rPr>
          <w:lang w:val="en-US"/>
        </w:rPr>
        <w:t xml:space="preserve">Ocean Decade. </w:t>
      </w:r>
    </w:p>
    <w:p w14:paraId="199E2F0D" w14:textId="2AE58C4A" w:rsidR="007278D3" w:rsidRDefault="0042023A" w:rsidP="00B837CF">
      <w:pPr>
        <w:pStyle w:val="COI"/>
        <w:rPr>
          <w:lang w:val="en-US"/>
        </w:rPr>
      </w:pPr>
      <w:r w:rsidRPr="0042023A">
        <w:rPr>
          <w:lang w:val="en-US"/>
        </w:rPr>
        <w:t xml:space="preserve">The StOR will include contributions not only </w:t>
      </w:r>
      <w:r w:rsidR="00F72A36">
        <w:rPr>
          <w:lang w:val="en-US"/>
        </w:rPr>
        <w:t>from</w:t>
      </w:r>
      <w:r w:rsidRPr="0042023A">
        <w:rPr>
          <w:lang w:val="en-US"/>
        </w:rPr>
        <w:t xml:space="preserve"> IOC projects and affiliated programmes, but also </w:t>
      </w:r>
      <w:r w:rsidR="00F72A36">
        <w:rPr>
          <w:lang w:val="en-US"/>
        </w:rPr>
        <w:t>from</w:t>
      </w:r>
      <w:r w:rsidRPr="0042023A">
        <w:rPr>
          <w:lang w:val="en-US"/>
        </w:rPr>
        <w:t xml:space="preserve"> other UN agencies and relevant organizations</w:t>
      </w:r>
      <w:r w:rsidR="007278D3">
        <w:rPr>
          <w:lang w:val="en-US"/>
        </w:rPr>
        <w:t xml:space="preserve">, </w:t>
      </w:r>
      <w:r w:rsidR="007278D3" w:rsidRPr="00436C02">
        <w:rPr>
          <w:lang w:val="en-US"/>
        </w:rPr>
        <w:t xml:space="preserve">which will be identified and invited to provide storylines based on guidance provided by the StOR </w:t>
      </w:r>
      <w:r w:rsidR="00F72A36" w:rsidRPr="00436C02">
        <w:rPr>
          <w:lang w:val="en-US"/>
        </w:rPr>
        <w:t>Advisory Board</w:t>
      </w:r>
      <w:r w:rsidRPr="00436C02">
        <w:rPr>
          <w:lang w:val="en-US"/>
        </w:rPr>
        <w:t>.</w:t>
      </w:r>
      <w:r w:rsidRPr="0042023A">
        <w:rPr>
          <w:lang w:val="en-US"/>
        </w:rPr>
        <w:t xml:space="preserve"> Following the advice </w:t>
      </w:r>
      <w:r w:rsidR="00F72A36">
        <w:rPr>
          <w:lang w:val="en-US"/>
        </w:rPr>
        <w:t>of</w:t>
      </w:r>
      <w:r w:rsidRPr="0042023A">
        <w:rPr>
          <w:lang w:val="en-US"/>
        </w:rPr>
        <w:t xml:space="preserve"> Member States, the objective will be to compile a concise overview of the current state of the ocean, </w:t>
      </w:r>
      <w:r w:rsidR="00F72A36">
        <w:rPr>
          <w:lang w:val="en-US"/>
        </w:rPr>
        <w:t xml:space="preserve">primarily </w:t>
      </w:r>
      <w:r w:rsidRPr="0042023A">
        <w:rPr>
          <w:lang w:val="en-US"/>
        </w:rPr>
        <w:t>helping policy- and decision</w:t>
      </w:r>
      <w:r w:rsidR="002E5149">
        <w:rPr>
          <w:lang w:val="en-US"/>
        </w:rPr>
        <w:t xml:space="preserve">- </w:t>
      </w:r>
      <w:r w:rsidRPr="0042023A">
        <w:rPr>
          <w:lang w:val="en-US"/>
        </w:rPr>
        <w:t>makers, as well as scientists</w:t>
      </w:r>
      <w:r w:rsidR="00C114DB">
        <w:rPr>
          <w:lang w:val="en-US"/>
        </w:rPr>
        <w:t>,</w:t>
      </w:r>
      <w:r w:rsidRPr="0042023A">
        <w:rPr>
          <w:lang w:val="en-US"/>
        </w:rPr>
        <w:t xml:space="preserve"> to mobilize global society to act towards ‘the ocean we need for the future we want’</w:t>
      </w:r>
      <w:r w:rsidR="00C114DB">
        <w:rPr>
          <w:lang w:val="en-US"/>
        </w:rPr>
        <w:t>,</w:t>
      </w:r>
      <w:r w:rsidRPr="0042023A">
        <w:rPr>
          <w:lang w:val="en-US"/>
        </w:rPr>
        <w:t xml:space="preserve"> contributing to the 2030 Agenda and in particular SDG</w:t>
      </w:r>
      <w:r w:rsidR="00C114DB">
        <w:rPr>
          <w:lang w:val="en-US"/>
        </w:rPr>
        <w:t> </w:t>
      </w:r>
      <w:r w:rsidRPr="0042023A">
        <w:rPr>
          <w:lang w:val="en-US"/>
        </w:rPr>
        <w:t xml:space="preserve">14, which reads ‘Conserve and sustainably use the oceans, seas and marine resources’, as well as other global processes such as the UNFCCC, </w:t>
      </w:r>
      <w:r w:rsidR="00C114DB">
        <w:rPr>
          <w:lang w:val="en-US"/>
        </w:rPr>
        <w:t xml:space="preserve">the </w:t>
      </w:r>
      <w:r w:rsidR="00C114DB" w:rsidRPr="00C114DB">
        <w:rPr>
          <w:lang w:val="en-US"/>
        </w:rPr>
        <w:t>Convention on Biological Diversity</w:t>
      </w:r>
      <w:r w:rsidRPr="0042023A">
        <w:rPr>
          <w:lang w:val="en-US"/>
        </w:rPr>
        <w:t xml:space="preserve">, </w:t>
      </w:r>
      <w:r w:rsidR="00C114DB">
        <w:rPr>
          <w:lang w:val="en-US"/>
        </w:rPr>
        <w:t xml:space="preserve">and the </w:t>
      </w:r>
      <w:r w:rsidRPr="0042023A">
        <w:rPr>
          <w:lang w:val="en-US"/>
        </w:rPr>
        <w:t xml:space="preserve">Sendai Framework. </w:t>
      </w:r>
    </w:p>
    <w:p w14:paraId="0EFF61D5" w14:textId="13725C08" w:rsidR="0042023A" w:rsidRDefault="0042023A" w:rsidP="00B837CF">
      <w:pPr>
        <w:pStyle w:val="COI"/>
        <w:rPr>
          <w:lang w:val="en-US"/>
        </w:rPr>
      </w:pPr>
      <w:r w:rsidRPr="0042023A">
        <w:rPr>
          <w:lang w:val="en-US"/>
        </w:rPr>
        <w:t xml:space="preserve">There are already </w:t>
      </w:r>
      <w:proofErr w:type="gramStart"/>
      <w:r w:rsidRPr="0042023A">
        <w:rPr>
          <w:lang w:val="en-US"/>
        </w:rPr>
        <w:t>a number of</w:t>
      </w:r>
      <w:proofErr w:type="gramEnd"/>
      <w:r w:rsidRPr="0042023A">
        <w:rPr>
          <w:lang w:val="en-US"/>
        </w:rPr>
        <w:t xml:space="preserve"> publications which focus on the ocean or contain dedicated sections exploring ocean themes, raising awareness on the importance of the ocean for the general public, policymakers and other marine stakeholders. Among the publications highlighting the importance of the ocean is the World Ocean Assessment (WOA)</w:t>
      </w:r>
      <w:r w:rsidR="00C114DB">
        <w:rPr>
          <w:lang w:val="en-US"/>
        </w:rPr>
        <w:t xml:space="preserve"> </w:t>
      </w:r>
      <w:r w:rsidRPr="0042023A">
        <w:rPr>
          <w:lang w:val="en-US"/>
        </w:rPr>
        <w:t>first published in 2016 and the</w:t>
      </w:r>
      <w:r w:rsidR="00C114DB">
        <w:rPr>
          <w:lang w:val="en-US"/>
        </w:rPr>
        <w:t xml:space="preserve">n </w:t>
      </w:r>
      <w:r w:rsidRPr="0042023A">
        <w:rPr>
          <w:lang w:val="en-US"/>
        </w:rPr>
        <w:t xml:space="preserve">in 2021. The second assessment is a comprehensive report </w:t>
      </w:r>
      <w:r w:rsidR="00C114DB">
        <w:rPr>
          <w:lang w:val="en-US"/>
        </w:rPr>
        <w:t>of over 1,000 pages written by more than</w:t>
      </w:r>
      <w:r w:rsidRPr="0042023A">
        <w:rPr>
          <w:lang w:val="en-US"/>
        </w:rPr>
        <w:t xml:space="preserve"> 300 scientists, nominated by </w:t>
      </w:r>
      <w:r w:rsidR="00C114DB">
        <w:rPr>
          <w:lang w:val="en-US"/>
        </w:rPr>
        <w:t>UN</w:t>
      </w:r>
      <w:r w:rsidRPr="0042023A">
        <w:rPr>
          <w:lang w:val="en-US"/>
        </w:rPr>
        <w:t xml:space="preserve"> Member States. The StOR, </w:t>
      </w:r>
      <w:r w:rsidR="00C114DB">
        <w:rPr>
          <w:lang w:val="en-US"/>
        </w:rPr>
        <w:t xml:space="preserve">which should be </w:t>
      </w:r>
      <w:r w:rsidRPr="0042023A">
        <w:rPr>
          <w:lang w:val="en-US"/>
        </w:rPr>
        <w:t xml:space="preserve">published </w:t>
      </w:r>
      <w:r w:rsidRPr="00B837CF">
        <w:rPr>
          <w:lang w:val="en-US"/>
        </w:rPr>
        <w:t>bi</w:t>
      </w:r>
      <w:r w:rsidR="00BA00B3" w:rsidRPr="00851D33">
        <w:rPr>
          <w:lang w:val="en-US"/>
        </w:rPr>
        <w:t>e</w:t>
      </w:r>
      <w:r w:rsidRPr="00B837CF">
        <w:rPr>
          <w:lang w:val="en-US"/>
        </w:rPr>
        <w:t>nn</w:t>
      </w:r>
      <w:r w:rsidR="00BA00B3" w:rsidRPr="00851D33">
        <w:rPr>
          <w:lang w:val="en-US"/>
        </w:rPr>
        <w:t>i</w:t>
      </w:r>
      <w:r w:rsidRPr="00B837CF">
        <w:rPr>
          <w:lang w:val="en-US"/>
        </w:rPr>
        <w:t>ally</w:t>
      </w:r>
      <w:r w:rsidRPr="0042023A">
        <w:rPr>
          <w:lang w:val="en-US"/>
        </w:rPr>
        <w:t xml:space="preserve">, </w:t>
      </w:r>
      <w:r w:rsidR="00C114DB">
        <w:rPr>
          <w:lang w:val="en-US"/>
        </w:rPr>
        <w:t xml:space="preserve">is part of this dynamic </w:t>
      </w:r>
      <w:r w:rsidRPr="0042023A">
        <w:rPr>
          <w:lang w:val="en-US"/>
        </w:rPr>
        <w:t xml:space="preserve">and is </w:t>
      </w:r>
      <w:r w:rsidR="00C114DB">
        <w:rPr>
          <w:lang w:val="en-US"/>
        </w:rPr>
        <w:t xml:space="preserve">intended </w:t>
      </w:r>
      <w:r w:rsidRPr="0042023A">
        <w:rPr>
          <w:lang w:val="en-US"/>
        </w:rPr>
        <w:t xml:space="preserve">to </w:t>
      </w:r>
      <w:r w:rsidR="00C114DB">
        <w:rPr>
          <w:lang w:val="en-US"/>
        </w:rPr>
        <w:t xml:space="preserve">make a </w:t>
      </w:r>
      <w:r w:rsidRPr="0042023A">
        <w:rPr>
          <w:lang w:val="en-US"/>
        </w:rPr>
        <w:t xml:space="preserve">complementary contribution to </w:t>
      </w:r>
      <w:r w:rsidR="00C114DB">
        <w:rPr>
          <w:lang w:val="en-US"/>
        </w:rPr>
        <w:t>the United Nation</w:t>
      </w:r>
      <w:r w:rsidR="00BA00B3">
        <w:rPr>
          <w:lang w:val="en-US"/>
        </w:rPr>
        <w:t xml:space="preserve">s </w:t>
      </w:r>
      <w:r w:rsidR="00C114DB">
        <w:rPr>
          <w:lang w:val="en-US"/>
        </w:rPr>
        <w:t xml:space="preserve">as </w:t>
      </w:r>
      <w:r w:rsidRPr="0042023A">
        <w:rPr>
          <w:lang w:val="en-US"/>
        </w:rPr>
        <w:t>ocean</w:t>
      </w:r>
      <w:r w:rsidR="00C114DB">
        <w:rPr>
          <w:lang w:val="en-US"/>
        </w:rPr>
        <w:t>-</w:t>
      </w:r>
      <w:r w:rsidRPr="0042023A">
        <w:rPr>
          <w:lang w:val="en-US"/>
        </w:rPr>
        <w:t xml:space="preserve">related processes, providing a succinct summary of the latest information available </w:t>
      </w:r>
      <w:r w:rsidR="004A5170">
        <w:rPr>
          <w:lang w:val="en-US"/>
        </w:rPr>
        <w:t xml:space="preserve">with a view to </w:t>
      </w:r>
      <w:r w:rsidRPr="0042023A">
        <w:rPr>
          <w:lang w:val="en-US"/>
        </w:rPr>
        <w:t xml:space="preserve">achieving the Outcomes of the Ocean Decade. The StOR also complements the information presented in the </w:t>
      </w:r>
      <w:r w:rsidR="00C114DB">
        <w:rPr>
          <w:lang w:val="en-US"/>
        </w:rPr>
        <w:t xml:space="preserve">UNESCO-IOC </w:t>
      </w:r>
      <w:r w:rsidRPr="00851D33">
        <w:rPr>
          <w:i/>
          <w:lang w:val="en-US"/>
        </w:rPr>
        <w:t>Global Ocean Science Reports</w:t>
      </w:r>
      <w:r w:rsidRPr="0042023A">
        <w:rPr>
          <w:lang w:val="en-US"/>
        </w:rPr>
        <w:t xml:space="preserve">, which focus on the enabling framework for ocean science, </w:t>
      </w:r>
      <w:r w:rsidR="004A5170">
        <w:rPr>
          <w:lang w:val="en-US"/>
        </w:rPr>
        <w:t>leading to the findin</w:t>
      </w:r>
      <w:r w:rsidRPr="0042023A">
        <w:rPr>
          <w:lang w:val="en-US"/>
        </w:rPr>
        <w:t>gs and assessments presented in the StOR.</w:t>
      </w:r>
    </w:p>
    <w:p w14:paraId="7658ED3C" w14:textId="77777777" w:rsidR="0042023A" w:rsidRPr="0042023A" w:rsidRDefault="0042023A" w:rsidP="005D1E90">
      <w:pPr>
        <w:pStyle w:val="Heading3"/>
      </w:pPr>
      <w:r w:rsidRPr="0042023A">
        <w:t>Structure and timeline of production</w:t>
      </w:r>
    </w:p>
    <w:p w14:paraId="4C92143A" w14:textId="4343AB9B" w:rsidR="0042023A" w:rsidRPr="0042023A" w:rsidRDefault="0042023A" w:rsidP="00B837CF">
      <w:pPr>
        <w:pStyle w:val="COI"/>
        <w:rPr>
          <w:lang w:val="en-US"/>
        </w:rPr>
      </w:pPr>
      <w:r w:rsidRPr="0042023A">
        <w:rPr>
          <w:lang w:val="en-US"/>
        </w:rPr>
        <w:t>It is expected that the next edition of the StOR, to be published in 2024</w:t>
      </w:r>
      <w:r w:rsidR="002E5149">
        <w:rPr>
          <w:lang w:val="en-US"/>
        </w:rPr>
        <w:t>,</w:t>
      </w:r>
      <w:r w:rsidRPr="0042023A">
        <w:rPr>
          <w:lang w:val="en-US"/>
        </w:rPr>
        <w:t xml:space="preserve"> will feature multiple storylines representing topics covering global assessments relevant </w:t>
      </w:r>
      <w:r w:rsidR="004A5170">
        <w:rPr>
          <w:lang w:val="en-US"/>
        </w:rPr>
        <w:t>to</w:t>
      </w:r>
      <w:r w:rsidRPr="0042023A">
        <w:rPr>
          <w:lang w:val="en-US"/>
        </w:rPr>
        <w:t xml:space="preserve"> each </w:t>
      </w:r>
      <w:r w:rsidR="004A5170">
        <w:rPr>
          <w:lang w:val="en-US"/>
        </w:rPr>
        <w:t xml:space="preserve">Ocean Decade </w:t>
      </w:r>
      <w:r w:rsidRPr="0042023A">
        <w:rPr>
          <w:lang w:val="en-US"/>
        </w:rPr>
        <w:t>Outcome.</w:t>
      </w:r>
    </w:p>
    <w:p w14:paraId="1B1ED19C" w14:textId="3397BD8D" w:rsidR="0042023A" w:rsidRPr="0042023A" w:rsidRDefault="0042023A" w:rsidP="00B837CF">
      <w:pPr>
        <w:pStyle w:val="COI"/>
        <w:rPr>
          <w:lang w:val="en-US"/>
        </w:rPr>
      </w:pPr>
      <w:r w:rsidRPr="0042023A">
        <w:rPr>
          <w:lang w:val="en-US"/>
        </w:rPr>
        <w:t>Editions of the StOR shall be comprehensive but concise</w:t>
      </w:r>
      <w:r w:rsidR="004A5170">
        <w:rPr>
          <w:lang w:val="en-US"/>
        </w:rPr>
        <w:t>,</w:t>
      </w:r>
      <w:r w:rsidRPr="0042023A">
        <w:rPr>
          <w:lang w:val="en-US"/>
        </w:rPr>
        <w:t xml:space="preserve"> with 2-5 storylines per Ocean Decade Outcome. Storylines </w:t>
      </w:r>
      <w:r w:rsidR="004A5170">
        <w:rPr>
          <w:lang w:val="en-US"/>
        </w:rPr>
        <w:t>are</w:t>
      </w:r>
      <w:r w:rsidRPr="0042023A">
        <w:rPr>
          <w:lang w:val="en-US"/>
        </w:rPr>
        <w:t xml:space="preserve"> brief narrative description of parameters, issues describing trend</w:t>
      </w:r>
      <w:r w:rsidR="002E356B">
        <w:rPr>
          <w:lang w:val="en-US"/>
        </w:rPr>
        <w:t>s</w:t>
      </w:r>
      <w:r w:rsidRPr="0042023A">
        <w:rPr>
          <w:lang w:val="en-US"/>
        </w:rPr>
        <w:t xml:space="preserve"> and activities </w:t>
      </w:r>
      <w:r w:rsidR="004A5170">
        <w:rPr>
          <w:lang w:val="en-US"/>
        </w:rPr>
        <w:t>with</w:t>
      </w:r>
      <w:r w:rsidRPr="0042023A">
        <w:rPr>
          <w:lang w:val="en-US"/>
        </w:rPr>
        <w:t xml:space="preserve"> figures. </w:t>
      </w:r>
    </w:p>
    <w:p w14:paraId="085C0DAA" w14:textId="6707730E" w:rsidR="0042023A" w:rsidRPr="0042023A" w:rsidRDefault="0042023A" w:rsidP="00B837CF">
      <w:pPr>
        <w:pStyle w:val="COI"/>
        <w:rPr>
          <w:lang w:val="en-US"/>
        </w:rPr>
      </w:pPr>
      <w:r w:rsidRPr="0042023A">
        <w:rPr>
          <w:lang w:val="en-US"/>
        </w:rPr>
        <w:t xml:space="preserve">The </w:t>
      </w:r>
      <w:r w:rsidR="00213147">
        <w:rPr>
          <w:lang w:val="en-US"/>
        </w:rPr>
        <w:t xml:space="preserve">decision on </w:t>
      </w:r>
      <w:r w:rsidR="002E356B">
        <w:rPr>
          <w:lang w:val="en-US"/>
        </w:rPr>
        <w:t>topics</w:t>
      </w:r>
      <w:r w:rsidRPr="0042023A">
        <w:rPr>
          <w:lang w:val="en-US"/>
        </w:rPr>
        <w:t xml:space="preserve"> and list of contributors </w:t>
      </w:r>
      <w:r w:rsidR="002E356B">
        <w:rPr>
          <w:lang w:val="en-US"/>
        </w:rPr>
        <w:t>to</w:t>
      </w:r>
      <w:r w:rsidRPr="0042023A">
        <w:rPr>
          <w:lang w:val="en-US"/>
        </w:rPr>
        <w:t xml:space="preserve"> the storylines will be </w:t>
      </w:r>
      <w:r w:rsidR="00213147">
        <w:rPr>
          <w:lang w:val="en-US"/>
        </w:rPr>
        <w:t>guided</w:t>
      </w:r>
      <w:r w:rsidR="00213147" w:rsidRPr="0042023A">
        <w:rPr>
          <w:lang w:val="en-US"/>
        </w:rPr>
        <w:t xml:space="preserve"> </w:t>
      </w:r>
      <w:r w:rsidRPr="0042023A">
        <w:rPr>
          <w:lang w:val="en-US"/>
        </w:rPr>
        <w:t xml:space="preserve">by the StOR Advisory Board. A preliminary list of relevant themes </w:t>
      </w:r>
      <w:r w:rsidR="002E356B">
        <w:rPr>
          <w:lang w:val="en-US"/>
        </w:rPr>
        <w:t>for</w:t>
      </w:r>
      <w:r w:rsidRPr="0042023A">
        <w:rPr>
          <w:lang w:val="en-US"/>
        </w:rPr>
        <w:t xml:space="preserve"> each Outcome, </w:t>
      </w:r>
      <w:r w:rsidR="002E356B">
        <w:rPr>
          <w:lang w:val="en-US"/>
        </w:rPr>
        <w:t xml:space="preserve">allowing </w:t>
      </w:r>
      <w:r w:rsidRPr="0042023A">
        <w:rPr>
          <w:lang w:val="en-US"/>
        </w:rPr>
        <w:t xml:space="preserve">the identification of </w:t>
      </w:r>
      <w:r w:rsidRPr="007278D3">
        <w:rPr>
          <w:lang w:val="en-US"/>
        </w:rPr>
        <w:t xml:space="preserve">relevant topics for the different storylines, is </w:t>
      </w:r>
      <w:r w:rsidR="002E356B">
        <w:rPr>
          <w:lang w:val="en-US"/>
        </w:rPr>
        <w:t>provided</w:t>
      </w:r>
      <w:r w:rsidRPr="007278D3">
        <w:rPr>
          <w:lang w:val="en-US"/>
        </w:rPr>
        <w:t xml:space="preserve"> in Annex</w:t>
      </w:r>
      <w:r w:rsidR="00610883">
        <w:rPr>
          <w:lang w:val="en-US"/>
        </w:rPr>
        <w:t> 3</w:t>
      </w:r>
      <w:r w:rsidRPr="007278D3">
        <w:rPr>
          <w:lang w:val="en-US"/>
        </w:rPr>
        <w:t>. These themes are based on the</w:t>
      </w:r>
      <w:r w:rsidRPr="0042023A">
        <w:rPr>
          <w:lang w:val="en-US"/>
        </w:rPr>
        <w:t xml:space="preserve"> </w:t>
      </w:r>
      <w:r w:rsidR="002E356B">
        <w:rPr>
          <w:lang w:val="en-US"/>
        </w:rPr>
        <w:t xml:space="preserve">review of </w:t>
      </w:r>
      <w:r w:rsidRPr="0042023A">
        <w:rPr>
          <w:lang w:val="en-US"/>
        </w:rPr>
        <w:t>Member State</w:t>
      </w:r>
      <w:r w:rsidR="002E356B">
        <w:rPr>
          <w:lang w:val="en-US"/>
        </w:rPr>
        <w:t>s</w:t>
      </w:r>
      <w:r w:rsidRPr="0042023A">
        <w:rPr>
          <w:lang w:val="en-US"/>
        </w:rPr>
        <w:t xml:space="preserve"> and the </w:t>
      </w:r>
      <w:r w:rsidR="002E356B">
        <w:rPr>
          <w:lang w:val="en-US"/>
        </w:rPr>
        <w:t>pilot</w:t>
      </w:r>
      <w:r w:rsidRPr="0042023A">
        <w:rPr>
          <w:lang w:val="en-US"/>
        </w:rPr>
        <w:t xml:space="preserve"> StOR publication. </w:t>
      </w:r>
      <w:r w:rsidR="002E356B">
        <w:rPr>
          <w:lang w:val="en-US"/>
        </w:rPr>
        <w:t>T</w:t>
      </w:r>
      <w:r w:rsidRPr="0042023A">
        <w:rPr>
          <w:lang w:val="en-US"/>
        </w:rPr>
        <w:t>o keep the report succinct</w:t>
      </w:r>
      <w:r w:rsidR="002E356B">
        <w:rPr>
          <w:lang w:val="en-US"/>
        </w:rPr>
        <w:t>,</w:t>
      </w:r>
      <w:r w:rsidRPr="0042023A">
        <w:rPr>
          <w:lang w:val="en-US"/>
        </w:rPr>
        <w:t xml:space="preserve"> each storyline will </w:t>
      </w:r>
      <w:r w:rsidR="002E356B">
        <w:rPr>
          <w:lang w:val="en-US"/>
        </w:rPr>
        <w:t xml:space="preserve">not exceed </w:t>
      </w:r>
      <w:r w:rsidRPr="0042023A">
        <w:rPr>
          <w:lang w:val="en-US"/>
        </w:rPr>
        <w:t>2 pages (incl</w:t>
      </w:r>
      <w:r w:rsidR="002E356B">
        <w:rPr>
          <w:lang w:val="en-US"/>
        </w:rPr>
        <w:t>uding</w:t>
      </w:r>
      <w:r w:rsidRPr="0042023A">
        <w:rPr>
          <w:lang w:val="en-US"/>
        </w:rPr>
        <w:t xml:space="preserve"> figures and references). </w:t>
      </w:r>
    </w:p>
    <w:p w14:paraId="4E84EAE1" w14:textId="692B3005" w:rsidR="0042023A" w:rsidRPr="0042023A" w:rsidRDefault="002E356B" w:rsidP="00B837CF">
      <w:pPr>
        <w:pStyle w:val="COI"/>
        <w:rPr>
          <w:lang w:val="en-US"/>
        </w:rPr>
      </w:pPr>
      <w:r>
        <w:rPr>
          <w:lang w:val="en-US"/>
        </w:rPr>
        <w:t>Like the body of the report, a</w:t>
      </w:r>
      <w:r w:rsidR="0042023A" w:rsidRPr="0042023A">
        <w:rPr>
          <w:lang w:val="en-US"/>
        </w:rPr>
        <w:t xml:space="preserve"> 2</w:t>
      </w:r>
      <w:r w:rsidR="00BA00B3">
        <w:rPr>
          <w:lang w:val="en-US"/>
        </w:rPr>
        <w:t>-</w:t>
      </w:r>
      <w:r>
        <w:rPr>
          <w:lang w:val="en-US"/>
        </w:rPr>
        <w:t xml:space="preserve"> to </w:t>
      </w:r>
      <w:r w:rsidR="0042023A" w:rsidRPr="0042023A">
        <w:rPr>
          <w:lang w:val="en-US"/>
        </w:rPr>
        <w:t>3</w:t>
      </w:r>
      <w:r w:rsidR="00BA00B3">
        <w:rPr>
          <w:lang w:val="en-US"/>
        </w:rPr>
        <w:t>-</w:t>
      </w:r>
      <w:r w:rsidR="0042023A" w:rsidRPr="0042023A">
        <w:rPr>
          <w:lang w:val="en-US"/>
        </w:rPr>
        <w:t xml:space="preserve">page executive summary will be organized around the </w:t>
      </w:r>
      <w:r>
        <w:rPr>
          <w:lang w:val="en-US"/>
        </w:rPr>
        <w:t>seven O</w:t>
      </w:r>
      <w:r w:rsidR="0042023A" w:rsidRPr="0042023A">
        <w:rPr>
          <w:lang w:val="en-US"/>
        </w:rPr>
        <w:t xml:space="preserve">cean Decade Outcomes, </w:t>
      </w:r>
      <w:r>
        <w:rPr>
          <w:lang w:val="en-US"/>
        </w:rPr>
        <w:t>before</w:t>
      </w:r>
      <w:r w:rsidR="0042023A" w:rsidRPr="0042023A">
        <w:rPr>
          <w:lang w:val="en-US"/>
        </w:rPr>
        <w:t xml:space="preserve"> the main body of </w:t>
      </w:r>
      <w:r>
        <w:rPr>
          <w:lang w:val="en-US"/>
        </w:rPr>
        <w:t xml:space="preserve">the </w:t>
      </w:r>
      <w:r w:rsidR="0042023A" w:rsidRPr="0042023A">
        <w:rPr>
          <w:lang w:val="en-US"/>
        </w:rPr>
        <w:t>text</w:t>
      </w:r>
      <w:r w:rsidR="00213147">
        <w:rPr>
          <w:lang w:val="en-US"/>
        </w:rPr>
        <w:t>,</w:t>
      </w:r>
      <w:r w:rsidR="0042023A" w:rsidRPr="0042023A">
        <w:rPr>
          <w:lang w:val="en-US"/>
        </w:rPr>
        <w:t xml:space="preserve"> illustrat</w:t>
      </w:r>
      <w:r w:rsidR="00213147">
        <w:rPr>
          <w:lang w:val="en-US"/>
        </w:rPr>
        <w:t>ing</w:t>
      </w:r>
      <w:r w:rsidR="0042023A" w:rsidRPr="0042023A">
        <w:rPr>
          <w:lang w:val="en-US"/>
        </w:rPr>
        <w:t xml:space="preserve"> key findings highlighted by storyline</w:t>
      </w:r>
      <w:r w:rsidR="00A67449">
        <w:rPr>
          <w:lang w:val="en-US"/>
        </w:rPr>
        <w:t>s</w:t>
      </w:r>
      <w:r w:rsidR="0042023A" w:rsidRPr="0042023A">
        <w:rPr>
          <w:lang w:val="en-US"/>
        </w:rPr>
        <w:t xml:space="preserve">. </w:t>
      </w:r>
    </w:p>
    <w:p w14:paraId="5C339573" w14:textId="0532B59D" w:rsidR="0042023A" w:rsidRPr="0042023A" w:rsidRDefault="00A67449" w:rsidP="00B837CF">
      <w:pPr>
        <w:pStyle w:val="COI"/>
        <w:rPr>
          <w:lang w:val="en-US"/>
        </w:rPr>
      </w:pPr>
      <w:r>
        <w:rPr>
          <w:lang w:val="en-US"/>
        </w:rPr>
        <w:t>The a</w:t>
      </w:r>
      <w:r w:rsidR="0042023A" w:rsidRPr="0042023A">
        <w:rPr>
          <w:lang w:val="en-US"/>
        </w:rPr>
        <w:t xml:space="preserve">uthors of each storyline are asked to provide figures and graphs </w:t>
      </w:r>
      <w:r>
        <w:rPr>
          <w:lang w:val="en-US"/>
        </w:rPr>
        <w:t xml:space="preserve">that are </w:t>
      </w:r>
      <w:r w:rsidR="0042023A" w:rsidRPr="0042023A">
        <w:rPr>
          <w:lang w:val="en-US"/>
        </w:rPr>
        <w:t xml:space="preserve">easy to understand for a </w:t>
      </w:r>
      <w:r w:rsidR="0042023A" w:rsidRPr="007278D3">
        <w:rPr>
          <w:lang w:val="en-US"/>
        </w:rPr>
        <w:t xml:space="preserve">non-expert audience. </w:t>
      </w:r>
      <w:r>
        <w:rPr>
          <w:lang w:val="en-US"/>
        </w:rPr>
        <w:t>Authors</w:t>
      </w:r>
      <w:r w:rsidR="0042023A" w:rsidRPr="007278D3">
        <w:rPr>
          <w:lang w:val="en-US"/>
        </w:rPr>
        <w:t xml:space="preserve"> are advised to follow the storyline template (Annex</w:t>
      </w:r>
      <w:r w:rsidR="00610883">
        <w:rPr>
          <w:lang w:val="en-US"/>
        </w:rPr>
        <w:t> 4</w:t>
      </w:r>
      <w:r w:rsidR="0042023A" w:rsidRPr="007278D3">
        <w:rPr>
          <w:lang w:val="en-US"/>
        </w:rPr>
        <w:t xml:space="preserve">) </w:t>
      </w:r>
      <w:r>
        <w:rPr>
          <w:lang w:val="en-US"/>
        </w:rPr>
        <w:t>which provides</w:t>
      </w:r>
      <w:r w:rsidR="0042023A" w:rsidRPr="0042023A">
        <w:rPr>
          <w:lang w:val="en-US"/>
        </w:rPr>
        <w:t xml:space="preserve"> guidance on content and format. Each storyline will be organized as follows: a brief introduction to the issue presented, </w:t>
      </w:r>
      <w:r>
        <w:rPr>
          <w:lang w:val="en-US"/>
        </w:rPr>
        <w:t xml:space="preserve">a </w:t>
      </w:r>
      <w:r w:rsidR="0042023A" w:rsidRPr="0042023A">
        <w:rPr>
          <w:lang w:val="en-US"/>
        </w:rPr>
        <w:t>description of the current state of knowledge and conclusions</w:t>
      </w:r>
      <w:r>
        <w:rPr>
          <w:lang w:val="en-US"/>
        </w:rPr>
        <w:t xml:space="preserve">, </w:t>
      </w:r>
      <w:r w:rsidR="00213147">
        <w:rPr>
          <w:lang w:val="en-US"/>
        </w:rPr>
        <w:t>as well as</w:t>
      </w:r>
      <w:r>
        <w:rPr>
          <w:lang w:val="en-US"/>
        </w:rPr>
        <w:t xml:space="preserve"> </w:t>
      </w:r>
      <w:r w:rsidR="0042023A" w:rsidRPr="0042023A">
        <w:rPr>
          <w:lang w:val="en-US"/>
        </w:rPr>
        <w:t>next steps</w:t>
      </w:r>
      <w:r>
        <w:rPr>
          <w:lang w:val="en-US"/>
        </w:rPr>
        <w:t xml:space="preserve"> that </w:t>
      </w:r>
      <w:r w:rsidR="0042023A" w:rsidRPr="0042023A">
        <w:rPr>
          <w:lang w:val="en-US"/>
        </w:rPr>
        <w:t xml:space="preserve">would be required for the topic of the storyline to achieve the respective </w:t>
      </w:r>
      <w:r>
        <w:rPr>
          <w:lang w:val="en-US"/>
        </w:rPr>
        <w:t xml:space="preserve">Ocean Decade </w:t>
      </w:r>
      <w:r w:rsidR="0042023A" w:rsidRPr="0042023A">
        <w:rPr>
          <w:lang w:val="en-US"/>
        </w:rPr>
        <w:t>Outcome.</w:t>
      </w:r>
    </w:p>
    <w:p w14:paraId="41F94334" w14:textId="703F7EF0" w:rsidR="0042023A" w:rsidRPr="007278D3" w:rsidRDefault="0042023A" w:rsidP="00B837CF">
      <w:pPr>
        <w:pStyle w:val="COI"/>
        <w:rPr>
          <w:lang w:val="en-US"/>
        </w:rPr>
      </w:pPr>
      <w:r w:rsidRPr="007278D3">
        <w:rPr>
          <w:lang w:val="en-US"/>
        </w:rPr>
        <w:lastRenderedPageBreak/>
        <w:t>A</w:t>
      </w:r>
      <w:r w:rsidR="007278D3" w:rsidRPr="007278D3">
        <w:rPr>
          <w:lang w:val="en-US"/>
        </w:rPr>
        <w:t>n expected</w:t>
      </w:r>
      <w:r w:rsidRPr="007278D3">
        <w:rPr>
          <w:lang w:val="en-US"/>
        </w:rPr>
        <w:t xml:space="preserve"> timeline </w:t>
      </w:r>
      <w:proofErr w:type="gramStart"/>
      <w:r w:rsidRPr="007278D3">
        <w:rPr>
          <w:lang w:val="en-US"/>
        </w:rPr>
        <w:t>for the production of</w:t>
      </w:r>
      <w:proofErr w:type="gramEnd"/>
      <w:r w:rsidRPr="007278D3">
        <w:rPr>
          <w:lang w:val="en-US"/>
        </w:rPr>
        <w:t xml:space="preserve"> the 2024 edition </w:t>
      </w:r>
      <w:r w:rsidR="00A67449">
        <w:rPr>
          <w:lang w:val="en-US"/>
        </w:rPr>
        <w:t>guides</w:t>
      </w:r>
      <w:r w:rsidRPr="007278D3">
        <w:rPr>
          <w:lang w:val="en-US"/>
        </w:rPr>
        <w:t xml:space="preserve"> the preparations (Annex</w:t>
      </w:r>
      <w:r w:rsidR="00610883">
        <w:rPr>
          <w:lang w:val="en-US"/>
        </w:rPr>
        <w:t> 5</w:t>
      </w:r>
      <w:r w:rsidRPr="007278D3">
        <w:rPr>
          <w:lang w:val="en-US"/>
        </w:rPr>
        <w:t>).</w:t>
      </w:r>
    </w:p>
    <w:p w14:paraId="12940759" w14:textId="77777777" w:rsidR="00853565" w:rsidRPr="007278D3" w:rsidRDefault="00853565" w:rsidP="005D1E90">
      <w:pPr>
        <w:pStyle w:val="Heading3"/>
      </w:pPr>
      <w:r w:rsidRPr="007278D3">
        <w:t>Financial and administrative implications</w:t>
      </w:r>
    </w:p>
    <w:p w14:paraId="53EA928F" w14:textId="4EF5B5D2" w:rsidR="006D2A3A" w:rsidRPr="007278D3" w:rsidRDefault="006D2A3A" w:rsidP="00B837CF">
      <w:pPr>
        <w:pStyle w:val="COI"/>
        <w:rPr>
          <w:lang w:val="en-US"/>
        </w:rPr>
      </w:pPr>
      <w:r w:rsidRPr="007278D3">
        <w:rPr>
          <w:lang w:val="en-US"/>
        </w:rPr>
        <w:t xml:space="preserve">The StOR is part of the activities under Function D, </w:t>
      </w:r>
      <w:r w:rsidR="00A67449">
        <w:rPr>
          <w:lang w:val="en-US"/>
        </w:rPr>
        <w:t>‘</w:t>
      </w:r>
      <w:r w:rsidRPr="007278D3">
        <w:rPr>
          <w:lang w:val="en-US"/>
        </w:rPr>
        <w:t>Support assessment and information to improve the science-policy interface</w:t>
      </w:r>
      <w:r w:rsidR="00A67449">
        <w:rPr>
          <w:lang w:val="en-US"/>
        </w:rPr>
        <w:t>’</w:t>
      </w:r>
      <w:r w:rsidRPr="007278D3">
        <w:rPr>
          <w:lang w:val="en-US"/>
        </w:rPr>
        <w:t>. The allocated regular budget is insufficient to produce the StOR (RP Workplan n°802: Follow-up to SDGs, WOA &amp; State of the Ocean Reporting).</w:t>
      </w:r>
    </w:p>
    <w:p w14:paraId="69055EC0" w14:textId="35CD3DDB" w:rsidR="0042023A" w:rsidRPr="007278D3" w:rsidRDefault="0042023A" w:rsidP="00B837CF">
      <w:pPr>
        <w:pStyle w:val="COI"/>
        <w:rPr>
          <w:lang w:val="en-US"/>
        </w:rPr>
      </w:pPr>
      <w:r w:rsidRPr="007278D3">
        <w:rPr>
          <w:lang w:val="en-US"/>
        </w:rPr>
        <w:t>The publication of a bi</w:t>
      </w:r>
      <w:r w:rsidR="00BA00B3">
        <w:rPr>
          <w:lang w:val="en-US"/>
        </w:rPr>
        <w:t>ennial</w:t>
      </w:r>
      <w:r w:rsidRPr="007278D3">
        <w:rPr>
          <w:lang w:val="en-US"/>
        </w:rPr>
        <w:t xml:space="preserve"> StOR will require human and financial support by IOC M</w:t>
      </w:r>
      <w:r w:rsidR="00A67449">
        <w:rPr>
          <w:lang w:val="en-US"/>
        </w:rPr>
        <w:t xml:space="preserve">ember </w:t>
      </w:r>
      <w:r w:rsidRPr="007278D3">
        <w:rPr>
          <w:lang w:val="en-US"/>
        </w:rPr>
        <w:t>S</w:t>
      </w:r>
      <w:r w:rsidR="00A67449">
        <w:rPr>
          <w:lang w:val="en-US"/>
        </w:rPr>
        <w:t xml:space="preserve">tates to </w:t>
      </w:r>
      <w:r w:rsidRPr="007278D3">
        <w:rPr>
          <w:lang w:val="en-US"/>
        </w:rPr>
        <w:t>financ</w:t>
      </w:r>
      <w:r w:rsidR="00A67449">
        <w:rPr>
          <w:lang w:val="en-US"/>
        </w:rPr>
        <w:t>e</w:t>
      </w:r>
      <w:r w:rsidRPr="007278D3">
        <w:rPr>
          <w:lang w:val="en-US"/>
        </w:rPr>
        <w:t xml:space="preserve"> coordination at the IOC Secretariat, editorial work, translation, layout, design, </w:t>
      </w:r>
      <w:proofErr w:type="gramStart"/>
      <w:r w:rsidR="006D2A3A" w:rsidRPr="007278D3">
        <w:rPr>
          <w:lang w:val="en-US"/>
        </w:rPr>
        <w:t>printing</w:t>
      </w:r>
      <w:proofErr w:type="gramEnd"/>
      <w:r w:rsidR="006D2A3A" w:rsidRPr="007278D3">
        <w:rPr>
          <w:lang w:val="en-US"/>
        </w:rPr>
        <w:t xml:space="preserve"> and </w:t>
      </w:r>
      <w:r w:rsidRPr="007278D3">
        <w:rPr>
          <w:lang w:val="en-US"/>
        </w:rPr>
        <w:t>communication</w:t>
      </w:r>
      <w:r w:rsidR="006D2A3A" w:rsidRPr="007278D3">
        <w:rPr>
          <w:lang w:val="en-US"/>
        </w:rPr>
        <w:t>.</w:t>
      </w:r>
    </w:p>
    <w:p w14:paraId="5964376F" w14:textId="77777777" w:rsidR="009E517E" w:rsidRDefault="009E517E" w:rsidP="00310D61">
      <w:pPr>
        <w:pStyle w:val="b"/>
        <w:tabs>
          <w:tab w:val="clear" w:pos="1134"/>
        </w:tabs>
        <w:ind w:left="567"/>
      </w:pPr>
      <w:r>
        <w:br w:type="page"/>
      </w:r>
    </w:p>
    <w:p w14:paraId="74AF7583" w14:textId="6C00DB2B" w:rsidR="009E517E" w:rsidRPr="00851D33" w:rsidRDefault="009E517E" w:rsidP="00851D33">
      <w:pPr>
        <w:pStyle w:val="Heading3"/>
      </w:pPr>
      <w:r w:rsidRPr="009E517E">
        <w:lastRenderedPageBreak/>
        <w:t xml:space="preserve">ANNEX </w:t>
      </w:r>
      <w:r w:rsidR="00A67449">
        <w:t xml:space="preserve">1: </w:t>
      </w:r>
      <w:r w:rsidR="00A67449" w:rsidRPr="009E517E">
        <w:rPr>
          <w:lang w:val="en-US"/>
        </w:rPr>
        <w:t>Summary of StOR Member State review</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6734"/>
      </w:tblGrid>
      <w:tr w:rsidR="009E517E" w14:paraId="54F3FBDE" w14:textId="77777777" w:rsidTr="00851D33">
        <w:trPr>
          <w:tblHeader/>
        </w:trPr>
        <w:tc>
          <w:tcPr>
            <w:tcW w:w="2895" w:type="dxa"/>
            <w:shd w:val="clear" w:color="auto" w:fill="9FC5E8"/>
            <w:tcMar>
              <w:top w:w="100" w:type="dxa"/>
              <w:left w:w="100" w:type="dxa"/>
              <w:bottom w:w="100" w:type="dxa"/>
              <w:right w:w="100" w:type="dxa"/>
            </w:tcMar>
          </w:tcPr>
          <w:p w14:paraId="3EDC0542" w14:textId="77777777" w:rsidR="009E517E" w:rsidRPr="009E517E" w:rsidRDefault="009E517E" w:rsidP="009D0223">
            <w:pPr>
              <w:widowControl w:val="0"/>
              <w:rPr>
                <w:rFonts w:cs="Arial"/>
                <w:b/>
              </w:rPr>
            </w:pPr>
            <w:r w:rsidRPr="009E517E">
              <w:rPr>
                <w:rFonts w:cs="Arial"/>
                <w:b/>
              </w:rPr>
              <w:t>Category</w:t>
            </w:r>
          </w:p>
        </w:tc>
        <w:tc>
          <w:tcPr>
            <w:tcW w:w="6734" w:type="dxa"/>
            <w:shd w:val="clear" w:color="auto" w:fill="9FC5E8"/>
            <w:tcMar>
              <w:top w:w="100" w:type="dxa"/>
              <w:left w:w="100" w:type="dxa"/>
              <w:bottom w:w="100" w:type="dxa"/>
              <w:right w:w="100" w:type="dxa"/>
            </w:tcMar>
          </w:tcPr>
          <w:p w14:paraId="19C27AF6" w14:textId="77777777" w:rsidR="009E517E" w:rsidRPr="009E517E" w:rsidRDefault="009E517E" w:rsidP="009D0223">
            <w:pPr>
              <w:widowControl w:val="0"/>
              <w:rPr>
                <w:rFonts w:cs="Arial"/>
                <w:b/>
              </w:rPr>
            </w:pPr>
            <w:r w:rsidRPr="009E517E">
              <w:rPr>
                <w:rFonts w:cs="Arial"/>
                <w:b/>
              </w:rPr>
              <w:t>Comment</w:t>
            </w:r>
          </w:p>
        </w:tc>
      </w:tr>
      <w:tr w:rsidR="009E517E" w14:paraId="6DC20D8A" w14:textId="77777777" w:rsidTr="00851D33">
        <w:tc>
          <w:tcPr>
            <w:tcW w:w="2895" w:type="dxa"/>
            <w:shd w:val="clear" w:color="auto" w:fill="9FC5E8"/>
            <w:tcMar>
              <w:top w:w="100" w:type="dxa"/>
              <w:left w:w="100" w:type="dxa"/>
              <w:bottom w:w="100" w:type="dxa"/>
              <w:right w:w="100" w:type="dxa"/>
            </w:tcMar>
          </w:tcPr>
          <w:p w14:paraId="2F125EF2" w14:textId="77777777" w:rsidR="009E517E" w:rsidRPr="009E517E" w:rsidRDefault="009E517E" w:rsidP="009D0223">
            <w:pPr>
              <w:widowControl w:val="0"/>
              <w:rPr>
                <w:rFonts w:cs="Arial"/>
                <w:i/>
              </w:rPr>
            </w:pPr>
            <w:r w:rsidRPr="009E517E">
              <w:rPr>
                <w:rFonts w:cs="Arial"/>
                <w:i/>
              </w:rPr>
              <w:t>Scope of the report</w:t>
            </w:r>
          </w:p>
        </w:tc>
        <w:tc>
          <w:tcPr>
            <w:tcW w:w="6734" w:type="dxa"/>
            <w:shd w:val="clear" w:color="auto" w:fill="9FC5E8"/>
            <w:tcMar>
              <w:top w:w="100" w:type="dxa"/>
              <w:left w:w="100" w:type="dxa"/>
              <w:bottom w:w="100" w:type="dxa"/>
              <w:right w:w="100" w:type="dxa"/>
            </w:tcMar>
          </w:tcPr>
          <w:p w14:paraId="6ED147F2" w14:textId="77777777" w:rsidR="009E517E" w:rsidRPr="009E517E" w:rsidRDefault="009E517E" w:rsidP="009D0223">
            <w:pPr>
              <w:widowControl w:val="0"/>
              <w:rPr>
                <w:rFonts w:cs="Arial"/>
              </w:rPr>
            </w:pPr>
          </w:p>
        </w:tc>
      </w:tr>
      <w:tr w:rsidR="009E517E" w14:paraId="22B94B51" w14:textId="77777777" w:rsidTr="00851D33">
        <w:tc>
          <w:tcPr>
            <w:tcW w:w="2895" w:type="dxa"/>
            <w:shd w:val="clear" w:color="auto" w:fill="auto"/>
            <w:tcMar>
              <w:top w:w="100" w:type="dxa"/>
              <w:left w:w="100" w:type="dxa"/>
              <w:bottom w:w="100" w:type="dxa"/>
              <w:right w:w="100" w:type="dxa"/>
            </w:tcMar>
          </w:tcPr>
          <w:p w14:paraId="488E6670" w14:textId="77777777" w:rsidR="009E517E" w:rsidRPr="009E517E" w:rsidRDefault="009E517E" w:rsidP="009D0223">
            <w:pPr>
              <w:widowControl w:val="0"/>
              <w:rPr>
                <w:rFonts w:cs="Arial"/>
              </w:rPr>
            </w:pPr>
            <w:r w:rsidRPr="009E517E">
              <w:rPr>
                <w:rFonts w:cs="Arial"/>
              </w:rPr>
              <w:t>Please advise how to improve the template in terms of format, length, inclusion of figures etc.</w:t>
            </w:r>
          </w:p>
        </w:tc>
        <w:tc>
          <w:tcPr>
            <w:tcW w:w="6734" w:type="dxa"/>
            <w:shd w:val="clear" w:color="auto" w:fill="auto"/>
            <w:tcMar>
              <w:top w:w="100" w:type="dxa"/>
              <w:left w:w="100" w:type="dxa"/>
              <w:bottom w:w="100" w:type="dxa"/>
              <w:right w:w="100" w:type="dxa"/>
            </w:tcMar>
          </w:tcPr>
          <w:p w14:paraId="19FCA18B"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Document needs to be shortened, potentially reduce to a subset of </w:t>
            </w:r>
            <w:proofErr w:type="gramStart"/>
            <w:r w:rsidRPr="009E517E">
              <w:rPr>
                <w:rFonts w:cs="Arial"/>
              </w:rPr>
              <w:t>challenges</w:t>
            </w:r>
            <w:proofErr w:type="gramEnd"/>
          </w:p>
          <w:p w14:paraId="0BCE1695" w14:textId="77777777" w:rsidR="009E517E" w:rsidRPr="009E517E" w:rsidRDefault="009E517E" w:rsidP="009E517E">
            <w:pPr>
              <w:widowControl w:val="0"/>
              <w:numPr>
                <w:ilvl w:val="0"/>
                <w:numId w:val="11"/>
              </w:numPr>
              <w:tabs>
                <w:tab w:val="clear" w:pos="567"/>
              </w:tabs>
              <w:snapToGrid/>
              <w:ind w:left="450"/>
              <w:rPr>
                <w:rFonts w:cs="Arial"/>
                <w:lang w:val="fr-FR"/>
              </w:rPr>
            </w:pPr>
            <w:r w:rsidRPr="009E517E">
              <w:rPr>
                <w:rFonts w:cs="Arial"/>
                <w:lang w:val="fr-FR"/>
              </w:rPr>
              <w:t xml:space="preserve">Focus on quantitative information, </w:t>
            </w:r>
            <w:proofErr w:type="spellStart"/>
            <w:r w:rsidRPr="009E517E">
              <w:rPr>
                <w:rFonts w:cs="Arial"/>
                <w:lang w:val="fr-FR"/>
              </w:rPr>
              <w:t>where</w:t>
            </w:r>
            <w:proofErr w:type="spellEnd"/>
            <w:r w:rsidRPr="009E517E">
              <w:rPr>
                <w:rFonts w:cs="Arial"/>
                <w:lang w:val="fr-FR"/>
              </w:rPr>
              <w:t xml:space="preserve"> possible</w:t>
            </w:r>
          </w:p>
          <w:p w14:paraId="7C4517BC"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Recommended use of </w:t>
            </w:r>
            <w:proofErr w:type="gramStart"/>
            <w:r w:rsidRPr="009E517E">
              <w:rPr>
                <w:rFonts w:cs="Arial"/>
              </w:rPr>
              <w:t>high resolution</w:t>
            </w:r>
            <w:proofErr w:type="gramEnd"/>
            <w:r w:rsidRPr="009E517E">
              <w:rPr>
                <w:rFonts w:cs="Arial"/>
              </w:rPr>
              <w:t xml:space="preserve"> infographics, potentially videos</w:t>
            </w:r>
          </w:p>
          <w:p w14:paraId="01AC7DB0"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Depending on length include short summary in the beginning or </w:t>
            </w:r>
            <w:proofErr w:type="gramStart"/>
            <w:r w:rsidRPr="009E517E">
              <w:rPr>
                <w:rFonts w:cs="Arial"/>
              </w:rPr>
              <w:t>end</w:t>
            </w:r>
            <w:proofErr w:type="gramEnd"/>
          </w:p>
          <w:p w14:paraId="515E7C1D"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Improve online access not only pdf and hard </w:t>
            </w:r>
            <w:proofErr w:type="gramStart"/>
            <w:r w:rsidRPr="009E517E">
              <w:rPr>
                <w:rFonts w:cs="Arial"/>
              </w:rPr>
              <w:t>copy</w:t>
            </w:r>
            <w:proofErr w:type="gramEnd"/>
          </w:p>
          <w:p w14:paraId="30CC40B3"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Identification of the audience should be clear.</w:t>
            </w:r>
          </w:p>
          <w:p w14:paraId="26DAED8B"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Language should be understandable by </w:t>
            </w:r>
            <w:proofErr w:type="gramStart"/>
            <w:r w:rsidRPr="009E517E">
              <w:rPr>
                <w:rFonts w:cs="Arial"/>
              </w:rPr>
              <w:t>non-scientists</w:t>
            </w:r>
            <w:proofErr w:type="gramEnd"/>
          </w:p>
          <w:p w14:paraId="37D7B128"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Template to be improved, by instructing to have the key take-home message(s) as few short sentences or bullet points for each storyline, also provide instruction for minimum/</w:t>
            </w:r>
            <w:proofErr w:type="gramStart"/>
            <w:r w:rsidRPr="009E517E">
              <w:rPr>
                <w:rFonts w:cs="Arial"/>
              </w:rPr>
              <w:t>maximum</w:t>
            </w:r>
            <w:proofErr w:type="gramEnd"/>
          </w:p>
          <w:p w14:paraId="68B42631"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Structure could be as follows: (1) Current stage of knowledge; (2) Knowledge gaps; (3) Recommendations on how these gaps could be closed.</w:t>
            </w:r>
          </w:p>
          <w:p w14:paraId="622A1DC2"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Some Member States recommended to focus on global changes, while others recommended to include regional case </w:t>
            </w:r>
            <w:proofErr w:type="gramStart"/>
            <w:r w:rsidRPr="009E517E">
              <w:rPr>
                <w:rFonts w:cs="Arial"/>
              </w:rPr>
              <w:t>studies</w:t>
            </w:r>
            <w:proofErr w:type="gramEnd"/>
            <w:r w:rsidRPr="009E517E">
              <w:rPr>
                <w:rFonts w:cs="Arial"/>
              </w:rPr>
              <w:t xml:space="preserve"> </w:t>
            </w:r>
          </w:p>
          <w:p w14:paraId="04C49444"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Provide guidance on number of </w:t>
            </w:r>
            <w:proofErr w:type="gramStart"/>
            <w:r w:rsidRPr="009E517E">
              <w:rPr>
                <w:rFonts w:cs="Arial"/>
              </w:rPr>
              <w:t>references</w:t>
            </w:r>
            <w:proofErr w:type="gramEnd"/>
          </w:p>
          <w:p w14:paraId="0478A0B1" w14:textId="77777777" w:rsidR="009E517E" w:rsidRPr="009E517E" w:rsidRDefault="009E517E" w:rsidP="009D0223">
            <w:pPr>
              <w:widowControl w:val="0"/>
              <w:rPr>
                <w:rFonts w:cs="Arial"/>
              </w:rPr>
            </w:pPr>
          </w:p>
        </w:tc>
      </w:tr>
      <w:tr w:rsidR="009E517E" w14:paraId="11879593" w14:textId="77777777" w:rsidTr="00851D33">
        <w:tc>
          <w:tcPr>
            <w:tcW w:w="2895" w:type="dxa"/>
            <w:shd w:val="clear" w:color="auto" w:fill="auto"/>
            <w:tcMar>
              <w:top w:w="100" w:type="dxa"/>
              <w:left w:w="100" w:type="dxa"/>
              <w:bottom w:w="100" w:type="dxa"/>
              <w:right w:w="100" w:type="dxa"/>
            </w:tcMar>
          </w:tcPr>
          <w:p w14:paraId="398B31ED" w14:textId="77777777" w:rsidR="009E517E" w:rsidRPr="009E517E" w:rsidRDefault="009E517E" w:rsidP="009D0223">
            <w:pPr>
              <w:widowControl w:val="0"/>
              <w:rPr>
                <w:rFonts w:cs="Arial"/>
              </w:rPr>
            </w:pPr>
            <w:r w:rsidRPr="009E517E">
              <w:rPr>
                <w:rFonts w:cs="Arial"/>
              </w:rPr>
              <w:t>Advise on the relevance of the existing storylines</w:t>
            </w:r>
          </w:p>
        </w:tc>
        <w:tc>
          <w:tcPr>
            <w:tcW w:w="6734" w:type="dxa"/>
            <w:shd w:val="clear" w:color="auto" w:fill="auto"/>
            <w:tcMar>
              <w:top w:w="100" w:type="dxa"/>
              <w:left w:w="100" w:type="dxa"/>
              <w:bottom w:w="100" w:type="dxa"/>
              <w:right w:w="100" w:type="dxa"/>
            </w:tcMar>
          </w:tcPr>
          <w:p w14:paraId="2C072039"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Future editions of the StOR could consider placing a greater emphasis on how science is informing solutions that can be implemented by people. In particular, the role of First Nations peoples, local communities and local industries that are reliant on a healthy ocean are important to highlight in future reporting.</w:t>
            </w:r>
          </w:p>
          <w:p w14:paraId="286BFD5B"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Same number of storylines for each challenge</w:t>
            </w:r>
          </w:p>
          <w:p w14:paraId="51E34CF2"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Identification of the key indicators for different challenges is needed and they should be highlighted in the </w:t>
            </w:r>
            <w:proofErr w:type="gramStart"/>
            <w:r w:rsidRPr="009E517E">
              <w:rPr>
                <w:rFonts w:cs="Arial"/>
              </w:rPr>
              <w:t>report</w:t>
            </w:r>
            <w:proofErr w:type="gramEnd"/>
          </w:p>
          <w:p w14:paraId="180BC54B"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The focus on status not enabling </w:t>
            </w:r>
            <w:proofErr w:type="gramStart"/>
            <w:r w:rsidRPr="009E517E">
              <w:rPr>
                <w:rFonts w:cs="Arial"/>
              </w:rPr>
              <w:t>framework</w:t>
            </w:r>
            <w:proofErr w:type="gramEnd"/>
          </w:p>
          <w:p w14:paraId="169C9EDF" w14:textId="77777777" w:rsidR="009E517E" w:rsidRPr="009E517E" w:rsidRDefault="009E517E" w:rsidP="009D0223">
            <w:pPr>
              <w:widowControl w:val="0"/>
              <w:rPr>
                <w:rFonts w:cs="Arial"/>
              </w:rPr>
            </w:pPr>
          </w:p>
        </w:tc>
      </w:tr>
      <w:tr w:rsidR="009E517E" w14:paraId="0D20ABAC" w14:textId="77777777" w:rsidTr="00851D33">
        <w:tc>
          <w:tcPr>
            <w:tcW w:w="2895" w:type="dxa"/>
            <w:shd w:val="clear" w:color="auto" w:fill="auto"/>
            <w:tcMar>
              <w:top w:w="100" w:type="dxa"/>
              <w:left w:w="100" w:type="dxa"/>
              <w:bottom w:w="100" w:type="dxa"/>
              <w:right w:w="100" w:type="dxa"/>
            </w:tcMar>
          </w:tcPr>
          <w:p w14:paraId="1981E399" w14:textId="77777777" w:rsidR="009E517E" w:rsidRPr="009E517E" w:rsidRDefault="009E517E" w:rsidP="009D0223">
            <w:pPr>
              <w:widowControl w:val="0"/>
              <w:rPr>
                <w:rFonts w:cs="Arial"/>
              </w:rPr>
            </w:pPr>
            <w:r w:rsidRPr="009E517E">
              <w:rPr>
                <w:rFonts w:cs="Arial"/>
              </w:rPr>
              <w:t>Propose how to improve the currently used indicators and benchmarks</w:t>
            </w:r>
          </w:p>
        </w:tc>
        <w:tc>
          <w:tcPr>
            <w:tcW w:w="6734" w:type="dxa"/>
            <w:shd w:val="clear" w:color="auto" w:fill="auto"/>
            <w:tcMar>
              <w:top w:w="100" w:type="dxa"/>
              <w:left w:w="100" w:type="dxa"/>
              <w:bottom w:w="100" w:type="dxa"/>
              <w:right w:w="100" w:type="dxa"/>
            </w:tcMar>
          </w:tcPr>
          <w:p w14:paraId="27052B17"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No need to define new indicators and goals, rather specify the state of the ocean </w:t>
            </w:r>
            <w:proofErr w:type="gramStart"/>
            <w:r w:rsidRPr="009E517E">
              <w:rPr>
                <w:rFonts w:cs="Arial"/>
              </w:rPr>
              <w:t>at the moment</w:t>
            </w:r>
            <w:proofErr w:type="gramEnd"/>
            <w:r w:rsidRPr="009E517E">
              <w:rPr>
                <w:rFonts w:cs="Arial"/>
              </w:rPr>
              <w:t>, in terms of well-defined variables or parameters.</w:t>
            </w:r>
          </w:p>
          <w:p w14:paraId="0C52E847"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Each information concerning the state of the ocean is relevant, however the report should highlight the </w:t>
            </w:r>
            <w:proofErr w:type="gramStart"/>
            <w:r w:rsidRPr="009E517E">
              <w:rPr>
                <w:rFonts w:cs="Arial"/>
              </w:rPr>
              <w:t>issues  most</w:t>
            </w:r>
            <w:proofErr w:type="gramEnd"/>
            <w:r w:rsidRPr="009E517E">
              <w:rPr>
                <w:rFonts w:cs="Arial"/>
              </w:rPr>
              <w:t xml:space="preserve"> relevant for a large audience</w:t>
            </w:r>
          </w:p>
          <w:p w14:paraId="63A593E1"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The pilot edition of the StOR is structured along the Decade Challenges. This should be maintained, whereby the direct reference to the Decade is taken up/continued.</w:t>
            </w:r>
          </w:p>
          <w:p w14:paraId="6226FF65" w14:textId="77777777" w:rsidR="009E517E" w:rsidRPr="009E517E" w:rsidRDefault="009E517E" w:rsidP="009D0223">
            <w:pPr>
              <w:widowControl w:val="0"/>
              <w:rPr>
                <w:rFonts w:cs="Arial"/>
              </w:rPr>
            </w:pPr>
          </w:p>
        </w:tc>
      </w:tr>
      <w:tr w:rsidR="009E517E" w14:paraId="0F3B4435" w14:textId="77777777" w:rsidTr="00851D33">
        <w:tc>
          <w:tcPr>
            <w:tcW w:w="2895" w:type="dxa"/>
            <w:shd w:val="clear" w:color="auto" w:fill="auto"/>
            <w:tcMar>
              <w:top w:w="100" w:type="dxa"/>
              <w:left w:w="100" w:type="dxa"/>
              <w:bottom w:w="100" w:type="dxa"/>
              <w:right w:w="100" w:type="dxa"/>
            </w:tcMar>
          </w:tcPr>
          <w:p w14:paraId="3966A121" w14:textId="77777777" w:rsidR="009E517E" w:rsidRPr="009E517E" w:rsidRDefault="009E517E" w:rsidP="009D0223">
            <w:pPr>
              <w:widowControl w:val="0"/>
              <w:spacing w:before="120"/>
              <w:rPr>
                <w:rFonts w:cs="Arial"/>
              </w:rPr>
            </w:pPr>
            <w:r w:rsidRPr="009E517E">
              <w:rPr>
                <w:rFonts w:cs="Arial"/>
              </w:rPr>
              <w:t>Advise on how to identify new potential indicators.</w:t>
            </w:r>
          </w:p>
        </w:tc>
        <w:tc>
          <w:tcPr>
            <w:tcW w:w="6734" w:type="dxa"/>
            <w:shd w:val="clear" w:color="auto" w:fill="auto"/>
            <w:tcMar>
              <w:top w:w="100" w:type="dxa"/>
              <w:left w:w="100" w:type="dxa"/>
              <w:bottom w:w="100" w:type="dxa"/>
              <w:right w:w="100" w:type="dxa"/>
            </w:tcMar>
          </w:tcPr>
          <w:p w14:paraId="314038F2"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The StOR should not aim to identify new indicators, but rather new parameters that allow us to give the most complete vision of the state of the ocean.</w:t>
            </w:r>
          </w:p>
          <w:p w14:paraId="07D55A1C"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Should be aligned with the Ocean Decade </w:t>
            </w:r>
            <w:proofErr w:type="gramStart"/>
            <w:r w:rsidRPr="009E517E">
              <w:rPr>
                <w:rFonts w:cs="Arial"/>
              </w:rPr>
              <w:t>process</w:t>
            </w:r>
            <w:proofErr w:type="gramEnd"/>
          </w:p>
          <w:p w14:paraId="1EEE8E82"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The report could include social indicators to show how people </w:t>
            </w:r>
            <w:r w:rsidRPr="009E517E">
              <w:rPr>
                <w:rFonts w:cs="Arial"/>
              </w:rPr>
              <w:lastRenderedPageBreak/>
              <w:t>perceive and/or understand phenomena that occur on a day-to-day basis.</w:t>
            </w:r>
          </w:p>
          <w:p w14:paraId="40DDDCC1"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Reports of state of the sea/ocean for marginal and coastal seas could be consulted and considered to identify relevant parameters.</w:t>
            </w:r>
          </w:p>
          <w:p w14:paraId="1A6AB58D"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Potentially add to each challenge, number of programmes, projects contributing to it.</w:t>
            </w:r>
          </w:p>
          <w:p w14:paraId="0AC3A91C" w14:textId="77E50252"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The StOR could include information on ship-originated pollution, oil spill </w:t>
            </w:r>
            <w:r w:rsidR="00A67449" w:rsidRPr="009E517E">
              <w:rPr>
                <w:rFonts w:cs="Arial"/>
              </w:rPr>
              <w:t>modelling</w:t>
            </w:r>
            <w:r w:rsidRPr="009E517E">
              <w:rPr>
                <w:rFonts w:cs="Arial"/>
              </w:rPr>
              <w:t>, marine traffic information.</w:t>
            </w:r>
          </w:p>
        </w:tc>
      </w:tr>
      <w:tr w:rsidR="009E517E" w14:paraId="27D66F7B" w14:textId="77777777" w:rsidTr="00851D33">
        <w:tc>
          <w:tcPr>
            <w:tcW w:w="2895" w:type="dxa"/>
            <w:shd w:val="clear" w:color="auto" w:fill="9FC5E8"/>
            <w:tcMar>
              <w:top w:w="100" w:type="dxa"/>
              <w:left w:w="100" w:type="dxa"/>
              <w:bottom w:w="100" w:type="dxa"/>
              <w:right w:w="100" w:type="dxa"/>
            </w:tcMar>
          </w:tcPr>
          <w:p w14:paraId="6FB45F19" w14:textId="77777777" w:rsidR="009E517E" w:rsidRPr="009E517E" w:rsidRDefault="009E517E" w:rsidP="009D0223">
            <w:pPr>
              <w:widowControl w:val="0"/>
              <w:rPr>
                <w:rFonts w:cs="Arial"/>
                <w:i/>
              </w:rPr>
            </w:pPr>
            <w:r w:rsidRPr="009E517E">
              <w:rPr>
                <w:rFonts w:cs="Arial"/>
                <w:i/>
              </w:rPr>
              <w:lastRenderedPageBreak/>
              <w:t>Frequency of the report</w:t>
            </w:r>
          </w:p>
        </w:tc>
        <w:tc>
          <w:tcPr>
            <w:tcW w:w="6734" w:type="dxa"/>
            <w:shd w:val="clear" w:color="auto" w:fill="9FC5E8"/>
            <w:tcMar>
              <w:top w:w="100" w:type="dxa"/>
              <w:left w:w="100" w:type="dxa"/>
              <w:bottom w:w="100" w:type="dxa"/>
              <w:right w:w="100" w:type="dxa"/>
            </w:tcMar>
          </w:tcPr>
          <w:p w14:paraId="75B1249C" w14:textId="77777777" w:rsidR="009E517E" w:rsidRPr="009E517E" w:rsidRDefault="009E517E" w:rsidP="009D0223">
            <w:pPr>
              <w:widowControl w:val="0"/>
              <w:rPr>
                <w:rFonts w:cs="Arial"/>
              </w:rPr>
            </w:pPr>
          </w:p>
        </w:tc>
      </w:tr>
      <w:tr w:rsidR="009E517E" w14:paraId="36D8BA06" w14:textId="77777777" w:rsidTr="00851D33">
        <w:tc>
          <w:tcPr>
            <w:tcW w:w="2895" w:type="dxa"/>
            <w:shd w:val="clear" w:color="auto" w:fill="auto"/>
            <w:tcMar>
              <w:top w:w="100" w:type="dxa"/>
              <w:left w:w="100" w:type="dxa"/>
              <w:bottom w:w="100" w:type="dxa"/>
              <w:right w:w="100" w:type="dxa"/>
            </w:tcMar>
          </w:tcPr>
          <w:p w14:paraId="687F906E" w14:textId="77777777" w:rsidR="009E517E" w:rsidRPr="009E517E" w:rsidRDefault="009E517E" w:rsidP="009D0223">
            <w:pPr>
              <w:widowControl w:val="0"/>
              <w:rPr>
                <w:rFonts w:cs="Arial"/>
              </w:rPr>
            </w:pPr>
            <w:r w:rsidRPr="009E517E">
              <w:rPr>
                <w:rFonts w:cs="Arial"/>
              </w:rPr>
              <w:t>How often should the StOR be published?</w:t>
            </w:r>
          </w:p>
        </w:tc>
        <w:tc>
          <w:tcPr>
            <w:tcW w:w="6734" w:type="dxa"/>
            <w:shd w:val="clear" w:color="auto" w:fill="auto"/>
            <w:tcMar>
              <w:top w:w="100" w:type="dxa"/>
              <w:left w:w="100" w:type="dxa"/>
              <w:bottom w:w="100" w:type="dxa"/>
              <w:right w:w="100" w:type="dxa"/>
            </w:tcMar>
          </w:tcPr>
          <w:p w14:paraId="00D4C87F" w14:textId="642E1F4C" w:rsidR="009E517E" w:rsidRPr="009E517E" w:rsidRDefault="009E517E" w:rsidP="009E517E">
            <w:pPr>
              <w:widowControl w:val="0"/>
              <w:numPr>
                <w:ilvl w:val="0"/>
                <w:numId w:val="11"/>
              </w:numPr>
              <w:tabs>
                <w:tab w:val="clear" w:pos="567"/>
              </w:tabs>
              <w:snapToGrid/>
              <w:ind w:left="450"/>
              <w:rPr>
                <w:rFonts w:cs="Arial"/>
              </w:rPr>
            </w:pPr>
            <w:r w:rsidRPr="009E517E">
              <w:rPr>
                <w:rFonts w:cs="Arial"/>
              </w:rPr>
              <w:t>7 countries annually, 8 bi</w:t>
            </w:r>
            <w:r w:rsidR="00BA00B3">
              <w:rPr>
                <w:rFonts w:cs="Arial"/>
              </w:rPr>
              <w:t>e</w:t>
            </w:r>
            <w:r w:rsidRPr="009E517E">
              <w:rPr>
                <w:rFonts w:cs="Arial"/>
              </w:rPr>
              <w:t>nn</w:t>
            </w:r>
            <w:r w:rsidR="00BA00B3">
              <w:rPr>
                <w:rFonts w:cs="Arial"/>
              </w:rPr>
              <w:t>i</w:t>
            </w:r>
            <w:r w:rsidRPr="009E517E">
              <w:rPr>
                <w:rFonts w:cs="Arial"/>
              </w:rPr>
              <w:t>ally</w:t>
            </w:r>
          </w:p>
          <w:p w14:paraId="7E1C5F43"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It will require 2-3 years to measure progress within the </w:t>
            </w:r>
            <w:proofErr w:type="gramStart"/>
            <w:r w:rsidRPr="009E517E">
              <w:rPr>
                <w:rFonts w:cs="Arial"/>
              </w:rPr>
              <w:t>storylines</w:t>
            </w:r>
            <w:proofErr w:type="gramEnd"/>
          </w:p>
          <w:p w14:paraId="217F9736" w14:textId="77777777" w:rsidR="009E517E" w:rsidRPr="009E517E" w:rsidRDefault="009E517E" w:rsidP="009D0223">
            <w:pPr>
              <w:widowControl w:val="0"/>
              <w:rPr>
                <w:rFonts w:cs="Arial"/>
              </w:rPr>
            </w:pPr>
          </w:p>
        </w:tc>
      </w:tr>
      <w:tr w:rsidR="009E517E" w14:paraId="1D3E9002" w14:textId="77777777" w:rsidTr="00851D33">
        <w:tc>
          <w:tcPr>
            <w:tcW w:w="2895" w:type="dxa"/>
            <w:shd w:val="clear" w:color="auto" w:fill="9FC5E8"/>
            <w:tcMar>
              <w:top w:w="100" w:type="dxa"/>
              <w:left w:w="100" w:type="dxa"/>
              <w:bottom w:w="100" w:type="dxa"/>
              <w:right w:w="100" w:type="dxa"/>
            </w:tcMar>
          </w:tcPr>
          <w:p w14:paraId="336555FE" w14:textId="77777777" w:rsidR="009E517E" w:rsidRPr="009E517E" w:rsidRDefault="009E517E" w:rsidP="009D0223">
            <w:pPr>
              <w:widowControl w:val="0"/>
              <w:pBdr>
                <w:top w:val="nil"/>
                <w:left w:val="nil"/>
                <w:bottom w:val="nil"/>
                <w:right w:val="nil"/>
                <w:between w:val="nil"/>
              </w:pBdr>
              <w:rPr>
                <w:rFonts w:cs="Arial"/>
              </w:rPr>
            </w:pPr>
            <w:r w:rsidRPr="009E517E">
              <w:rPr>
                <w:rFonts w:cs="Arial"/>
              </w:rPr>
              <w:t>Additional comments</w:t>
            </w:r>
          </w:p>
        </w:tc>
        <w:tc>
          <w:tcPr>
            <w:tcW w:w="6734" w:type="dxa"/>
            <w:shd w:val="clear" w:color="auto" w:fill="9FC5E8"/>
            <w:tcMar>
              <w:top w:w="100" w:type="dxa"/>
              <w:left w:w="100" w:type="dxa"/>
              <w:bottom w:w="100" w:type="dxa"/>
              <w:right w:w="100" w:type="dxa"/>
            </w:tcMar>
          </w:tcPr>
          <w:p w14:paraId="51A0B4A2" w14:textId="77777777" w:rsidR="009E517E" w:rsidRPr="009E517E" w:rsidRDefault="009E517E" w:rsidP="009D0223">
            <w:pPr>
              <w:widowControl w:val="0"/>
              <w:pBdr>
                <w:top w:val="nil"/>
                <w:left w:val="nil"/>
                <w:bottom w:val="nil"/>
                <w:right w:val="nil"/>
                <w:between w:val="nil"/>
              </w:pBdr>
              <w:rPr>
                <w:rFonts w:cs="Arial"/>
              </w:rPr>
            </w:pPr>
          </w:p>
        </w:tc>
      </w:tr>
      <w:tr w:rsidR="009E517E" w14:paraId="0337B151" w14:textId="77777777" w:rsidTr="00851D33">
        <w:tc>
          <w:tcPr>
            <w:tcW w:w="2895" w:type="dxa"/>
            <w:shd w:val="clear" w:color="auto" w:fill="auto"/>
            <w:tcMar>
              <w:top w:w="100" w:type="dxa"/>
              <w:left w:w="100" w:type="dxa"/>
              <w:bottom w:w="100" w:type="dxa"/>
              <w:right w:w="100" w:type="dxa"/>
            </w:tcMar>
          </w:tcPr>
          <w:p w14:paraId="04275873" w14:textId="77777777" w:rsidR="009E517E" w:rsidRPr="009E517E" w:rsidRDefault="009E517E" w:rsidP="009D0223">
            <w:pPr>
              <w:widowControl w:val="0"/>
              <w:rPr>
                <w:rFonts w:cs="Arial"/>
              </w:rPr>
            </w:pPr>
            <w:r w:rsidRPr="009E517E">
              <w:rPr>
                <w:rFonts w:cs="Arial"/>
              </w:rPr>
              <w:t>Please advise on relevant UN Organizations and the information they could provide and to which Decade challenges.</w:t>
            </w:r>
          </w:p>
          <w:p w14:paraId="7478DE55" w14:textId="77777777" w:rsidR="009E517E" w:rsidRPr="009E517E" w:rsidRDefault="009E517E" w:rsidP="009D0223">
            <w:pPr>
              <w:widowControl w:val="0"/>
              <w:rPr>
                <w:rFonts w:cs="Arial"/>
              </w:rPr>
            </w:pPr>
          </w:p>
        </w:tc>
        <w:tc>
          <w:tcPr>
            <w:tcW w:w="6734" w:type="dxa"/>
            <w:shd w:val="clear" w:color="auto" w:fill="auto"/>
            <w:tcMar>
              <w:top w:w="100" w:type="dxa"/>
              <w:left w:w="100" w:type="dxa"/>
              <w:bottom w:w="100" w:type="dxa"/>
              <w:right w:w="100" w:type="dxa"/>
            </w:tcMar>
          </w:tcPr>
          <w:p w14:paraId="5BF669AC"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Align and discuss with </w:t>
            </w:r>
            <w:proofErr w:type="gramStart"/>
            <w:r w:rsidRPr="009E517E">
              <w:rPr>
                <w:rFonts w:cs="Arial"/>
              </w:rPr>
              <w:t>WOA</w:t>
            </w:r>
            <w:proofErr w:type="gramEnd"/>
          </w:p>
          <w:p w14:paraId="1740E2FF"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Challenge 1: Information on pollution observations and pollution reducing activities: UNEP, Basel Convention Secretariat, GESAMP</w:t>
            </w:r>
          </w:p>
          <w:p w14:paraId="2F511F9D"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Challenge 2: Information on ecosystem observations and ecosystem restoration activities: UN Decade of Ecosystem Restoration – UNEP, FAO, CBD, CMS, Ramsar, WMO, UNDP, UN-Habitat</w:t>
            </w:r>
          </w:p>
          <w:p w14:paraId="56368EBE"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Challenge 3: Information on ocean food resources and activities: UNCTAD, ESCAP, FAO, ILO, UNDP, UNIDO</w:t>
            </w:r>
          </w:p>
          <w:p w14:paraId="060EFE85"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Challenge 4: Information on ocean industries and economies: UNDESA, ISA, UNCTAD, ESCAP, FAO, ILO, IMO, UNIDO, IACSD, UNDP, WTO</w:t>
            </w:r>
          </w:p>
          <w:p w14:paraId="0846F296"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Challenge 5: Information on climate observations and climate activities: UNFCCC, WMO, IMO, UNIDO, UNCTAD, UNDP</w:t>
            </w:r>
          </w:p>
          <w:p w14:paraId="24D515CC"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Challenge 6: Information on ocean hazards and activities: UNFCCC, WMO, IMO, FAO</w:t>
            </w:r>
          </w:p>
          <w:p w14:paraId="1DB1FA85"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Challenge 7: Information on comprehensive ocean observations including socio-ecological and socio-economic observations: UNFCCC, WMO, IMO, FAO, </w:t>
            </w:r>
            <w:proofErr w:type="gramStart"/>
            <w:r w:rsidRPr="009E517E">
              <w:rPr>
                <w:rFonts w:cs="Arial"/>
              </w:rPr>
              <w:t>UNEP ,</w:t>
            </w:r>
            <w:proofErr w:type="gramEnd"/>
            <w:r w:rsidRPr="009E517E">
              <w:rPr>
                <w:rFonts w:cs="Arial"/>
              </w:rPr>
              <w:t xml:space="preserve"> GESAMP, DOALOS, CBD, CMS, SOCA, WTO</w:t>
            </w:r>
          </w:p>
          <w:p w14:paraId="4FE477C3"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Challenge 8: Information needed for a digital twin of the ocean: UNFCCC, WMO, IMO, FAO, UNEP GESAMP, DOALOS, CBD, CMS, Ramsar, SOCA, UNIDO, UNCTAD, UNDP</w:t>
            </w:r>
          </w:p>
          <w:p w14:paraId="0AD35D91"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Challenge 9: Information on capacity building activities, knowledge: UNFCCC, WMO, IMO, FAO, UNEP, GESAMP, DOALOS, CBD, CMS, SOCA, UNIDO, UNCTAD, UNDP, UNDESA</w:t>
            </w:r>
          </w:p>
          <w:p w14:paraId="69B94277"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Challenge 10: Information on socio-ecological and socio-economic observations and activities, literacy activities: UNDESA, ISA, UNCTAD, ESCAP, FAO, ILO, IMO, UNIDO, UNFCCC, WMO, FAO, CBD, CMS, </w:t>
            </w:r>
            <w:proofErr w:type="gramStart"/>
            <w:r w:rsidRPr="009E517E">
              <w:rPr>
                <w:rFonts w:cs="Arial"/>
              </w:rPr>
              <w:t>UNEP ,</w:t>
            </w:r>
            <w:proofErr w:type="gramEnd"/>
            <w:r w:rsidRPr="009E517E">
              <w:rPr>
                <w:rFonts w:cs="Arial"/>
              </w:rPr>
              <w:t xml:space="preserve"> DOALOS, CITES, GESAMP, SOCA, WTO, UNESCO education, UN-WOMEN</w:t>
            </w:r>
          </w:p>
        </w:tc>
      </w:tr>
      <w:tr w:rsidR="009E517E" w14:paraId="5D9A3B44" w14:textId="77777777" w:rsidTr="00851D33">
        <w:tc>
          <w:tcPr>
            <w:tcW w:w="2895" w:type="dxa"/>
            <w:shd w:val="clear" w:color="auto" w:fill="auto"/>
            <w:tcMar>
              <w:top w:w="100" w:type="dxa"/>
              <w:left w:w="100" w:type="dxa"/>
              <w:bottom w:w="100" w:type="dxa"/>
              <w:right w:w="100" w:type="dxa"/>
            </w:tcMar>
          </w:tcPr>
          <w:p w14:paraId="0A9A1AFD" w14:textId="77777777" w:rsidR="009E517E" w:rsidRPr="009E517E" w:rsidRDefault="009E517E" w:rsidP="009D0223">
            <w:pPr>
              <w:widowControl w:val="0"/>
              <w:rPr>
                <w:rFonts w:cs="Arial"/>
              </w:rPr>
            </w:pPr>
            <w:r w:rsidRPr="009E517E">
              <w:rPr>
                <w:rFonts w:cs="Arial"/>
              </w:rPr>
              <w:lastRenderedPageBreak/>
              <w:t>Please suggest additional resources to be consulted to support the IOC Secretariat in the preparation of the StOR.</w:t>
            </w:r>
          </w:p>
          <w:p w14:paraId="550A15FB" w14:textId="77777777" w:rsidR="009E517E" w:rsidRPr="009E517E" w:rsidRDefault="009E517E" w:rsidP="009D0223">
            <w:pPr>
              <w:widowControl w:val="0"/>
              <w:rPr>
                <w:rFonts w:cs="Arial"/>
              </w:rPr>
            </w:pPr>
          </w:p>
        </w:tc>
        <w:tc>
          <w:tcPr>
            <w:tcW w:w="6734" w:type="dxa"/>
            <w:shd w:val="clear" w:color="auto" w:fill="auto"/>
            <w:tcMar>
              <w:top w:w="100" w:type="dxa"/>
              <w:left w:w="100" w:type="dxa"/>
              <w:bottom w:w="100" w:type="dxa"/>
              <w:right w:w="100" w:type="dxa"/>
            </w:tcMar>
          </w:tcPr>
          <w:p w14:paraId="7EFA263F"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Member States suggested to consult products </w:t>
            </w:r>
            <w:proofErr w:type="gramStart"/>
            <w:r w:rsidRPr="009E517E">
              <w:rPr>
                <w:rFonts w:cs="Arial"/>
              </w:rPr>
              <w:t>of  various</w:t>
            </w:r>
            <w:proofErr w:type="gramEnd"/>
            <w:r w:rsidRPr="009E517E">
              <w:rPr>
                <w:rFonts w:cs="Arial"/>
              </w:rPr>
              <w:t xml:space="preserve"> UN organizations, NGOs and international organizations such as, International Coral Reef Initiative (ICRI) and its Global Coral Reef Monitoring Network (GCRMN), Ocean High Level Panel, SCAR, WMO statement of the state of the climate.</w:t>
            </w:r>
          </w:p>
        </w:tc>
      </w:tr>
      <w:tr w:rsidR="009E517E" w14:paraId="210BE2E3" w14:textId="77777777" w:rsidTr="00851D33">
        <w:tc>
          <w:tcPr>
            <w:tcW w:w="2895" w:type="dxa"/>
            <w:shd w:val="clear" w:color="auto" w:fill="auto"/>
            <w:tcMar>
              <w:top w:w="100" w:type="dxa"/>
              <w:left w:w="100" w:type="dxa"/>
              <w:bottom w:w="100" w:type="dxa"/>
              <w:right w:w="100" w:type="dxa"/>
            </w:tcMar>
          </w:tcPr>
          <w:p w14:paraId="00E08DA1" w14:textId="77777777" w:rsidR="009E517E" w:rsidRPr="009E517E" w:rsidRDefault="009E517E" w:rsidP="009D0223">
            <w:pPr>
              <w:widowControl w:val="0"/>
              <w:rPr>
                <w:rFonts w:cs="Arial"/>
              </w:rPr>
            </w:pPr>
            <w:r w:rsidRPr="009E517E">
              <w:rPr>
                <w:rFonts w:cs="Arial"/>
              </w:rPr>
              <w:t>Please let us know if you have any further advice to improve the next edition of the StOR.</w:t>
            </w:r>
          </w:p>
          <w:p w14:paraId="41A5F882" w14:textId="77777777" w:rsidR="009E517E" w:rsidRPr="009E517E" w:rsidRDefault="009E517E" w:rsidP="009D0223">
            <w:pPr>
              <w:widowControl w:val="0"/>
              <w:rPr>
                <w:rFonts w:cs="Arial"/>
              </w:rPr>
            </w:pPr>
          </w:p>
        </w:tc>
        <w:tc>
          <w:tcPr>
            <w:tcW w:w="6734" w:type="dxa"/>
            <w:shd w:val="clear" w:color="auto" w:fill="auto"/>
            <w:tcMar>
              <w:top w:w="100" w:type="dxa"/>
              <w:left w:w="100" w:type="dxa"/>
              <w:bottom w:w="100" w:type="dxa"/>
              <w:right w:w="100" w:type="dxa"/>
            </w:tcMar>
          </w:tcPr>
          <w:p w14:paraId="173B74B6"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Incorporation of latest available knowledge </w:t>
            </w:r>
          </w:p>
          <w:p w14:paraId="5EF9351E" w14:textId="77777777" w:rsidR="009E517E" w:rsidRPr="009E517E" w:rsidRDefault="009E517E" w:rsidP="009E517E">
            <w:pPr>
              <w:widowControl w:val="0"/>
              <w:numPr>
                <w:ilvl w:val="0"/>
                <w:numId w:val="11"/>
              </w:numPr>
              <w:tabs>
                <w:tab w:val="clear" w:pos="567"/>
              </w:tabs>
              <w:snapToGrid/>
              <w:ind w:left="450"/>
              <w:rPr>
                <w:rFonts w:cs="Arial"/>
              </w:rPr>
            </w:pPr>
            <w:r w:rsidRPr="009E517E">
              <w:rPr>
                <w:rFonts w:cs="Arial"/>
              </w:rPr>
              <w:t xml:space="preserve">Establish a transparent editorial </w:t>
            </w:r>
            <w:proofErr w:type="gramStart"/>
            <w:r w:rsidRPr="009E517E">
              <w:rPr>
                <w:rFonts w:cs="Arial"/>
              </w:rPr>
              <w:t>process</w:t>
            </w:r>
            <w:proofErr w:type="gramEnd"/>
          </w:p>
          <w:p w14:paraId="1977B949" w14:textId="77777777" w:rsidR="009E517E" w:rsidRPr="009E517E" w:rsidRDefault="009E517E" w:rsidP="009D0223">
            <w:pPr>
              <w:widowControl w:val="0"/>
              <w:rPr>
                <w:rFonts w:cs="Arial"/>
              </w:rPr>
            </w:pPr>
          </w:p>
        </w:tc>
      </w:tr>
    </w:tbl>
    <w:p w14:paraId="600BEF3C" w14:textId="77777777" w:rsidR="009E517E" w:rsidRDefault="009E517E" w:rsidP="009E517E">
      <w:pPr>
        <w:widowControl w:val="0"/>
        <w:spacing w:before="542" w:line="360" w:lineRule="auto"/>
        <w:rPr>
          <w:rFonts w:ascii="Times New Roman" w:hAnsi="Times New Roman"/>
        </w:rPr>
      </w:pPr>
    </w:p>
    <w:p w14:paraId="44E5C9A8" w14:textId="77777777" w:rsidR="009E517E" w:rsidRDefault="009E517E" w:rsidP="009E517E">
      <w:pPr>
        <w:widowControl w:val="0"/>
        <w:pBdr>
          <w:top w:val="nil"/>
          <w:left w:val="nil"/>
          <w:bottom w:val="nil"/>
          <w:right w:val="nil"/>
          <w:between w:val="nil"/>
        </w:pBdr>
        <w:spacing w:before="180" w:line="360" w:lineRule="auto"/>
        <w:ind w:left="7" w:right="166"/>
        <w:jc w:val="both"/>
        <w:rPr>
          <w:rFonts w:ascii="Times New Roman" w:hAnsi="Times New Roman"/>
        </w:rPr>
      </w:pPr>
      <w:r>
        <w:br w:type="page"/>
      </w:r>
    </w:p>
    <w:p w14:paraId="6198D871" w14:textId="77777777" w:rsidR="00610883" w:rsidRPr="006A41F4" w:rsidRDefault="00610883" w:rsidP="00610883">
      <w:pPr>
        <w:pStyle w:val="Heading3"/>
      </w:pPr>
      <w:r w:rsidRPr="009E517E">
        <w:lastRenderedPageBreak/>
        <w:t xml:space="preserve">ANNEX </w:t>
      </w:r>
      <w:r>
        <w:t>2: Composition of the StOR Advisory Board</w:t>
      </w:r>
    </w:p>
    <w:p w14:paraId="3FB45545" w14:textId="77777777" w:rsidR="00610883" w:rsidRPr="0035230C" w:rsidRDefault="00610883" w:rsidP="00610883">
      <w:pPr>
        <w:jc w:val="both"/>
        <w:rPr>
          <w:rFonts w:cs="Arial"/>
        </w:rPr>
      </w:pPr>
      <w:r w:rsidRPr="0035230C">
        <w:rPr>
          <w:rFonts w:cs="Arial"/>
        </w:rPr>
        <w:t>The Advisory Board is coordinated by the Ocean Science Section of the IOC Secretariat</w:t>
      </w:r>
      <w:r>
        <w:rPr>
          <w:rFonts w:cs="Arial"/>
        </w:rPr>
        <w:t>:</w:t>
      </w:r>
      <w:r w:rsidRPr="0035230C">
        <w:rPr>
          <w:rFonts w:cs="Arial"/>
        </w:rPr>
        <w:t xml:space="preserve"> Henrik Enevoldsen, Kirsten Isensee and Ikroh Yoon.</w:t>
      </w:r>
    </w:p>
    <w:p w14:paraId="04381954" w14:textId="77777777" w:rsidR="00610883" w:rsidRPr="0035230C" w:rsidRDefault="00610883" w:rsidP="00610883">
      <w:pPr>
        <w:rPr>
          <w:rFonts w:cs="Arial"/>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551"/>
        <w:gridCol w:w="4394"/>
      </w:tblGrid>
      <w:tr w:rsidR="00610883" w:rsidRPr="0035230C" w14:paraId="22828EA3" w14:textId="77777777" w:rsidTr="006A41F4">
        <w:trPr>
          <w:trHeight w:val="806"/>
        </w:trPr>
        <w:tc>
          <w:tcPr>
            <w:tcW w:w="1555" w:type="dxa"/>
            <w:shd w:val="clear" w:color="auto" w:fill="F2F2F2" w:themeFill="background1" w:themeFillShade="F2"/>
          </w:tcPr>
          <w:p w14:paraId="77305626" w14:textId="77777777" w:rsidR="00610883" w:rsidRPr="0035230C" w:rsidRDefault="00610883" w:rsidP="006A41F4">
            <w:pPr>
              <w:rPr>
                <w:rFonts w:cs="Arial"/>
              </w:rPr>
            </w:pPr>
            <w:r w:rsidRPr="0035230C">
              <w:rPr>
                <w:rFonts w:cs="Arial"/>
              </w:rPr>
              <w:t>Country</w:t>
            </w:r>
          </w:p>
        </w:tc>
        <w:tc>
          <w:tcPr>
            <w:tcW w:w="2551" w:type="dxa"/>
            <w:shd w:val="clear" w:color="auto" w:fill="F2F2F2" w:themeFill="background1" w:themeFillShade="F2"/>
          </w:tcPr>
          <w:p w14:paraId="1465D735" w14:textId="77777777" w:rsidR="00610883" w:rsidRPr="0035230C" w:rsidRDefault="00610883" w:rsidP="006A41F4">
            <w:pPr>
              <w:rPr>
                <w:rFonts w:cs="Arial"/>
              </w:rPr>
            </w:pPr>
            <w:r w:rsidRPr="0035230C">
              <w:rPr>
                <w:rFonts w:cs="Arial"/>
              </w:rPr>
              <w:t>Name</w:t>
            </w:r>
          </w:p>
        </w:tc>
        <w:tc>
          <w:tcPr>
            <w:tcW w:w="4394" w:type="dxa"/>
            <w:shd w:val="clear" w:color="auto" w:fill="F2F2F2" w:themeFill="background1" w:themeFillShade="F2"/>
          </w:tcPr>
          <w:p w14:paraId="21FDD935" w14:textId="77777777" w:rsidR="00610883" w:rsidRPr="0035230C" w:rsidRDefault="00610883" w:rsidP="006A41F4">
            <w:pPr>
              <w:rPr>
                <w:rFonts w:cs="Arial"/>
              </w:rPr>
            </w:pPr>
            <w:r w:rsidRPr="0035230C">
              <w:rPr>
                <w:rFonts w:cs="Arial"/>
              </w:rPr>
              <w:t>Institution</w:t>
            </w:r>
          </w:p>
        </w:tc>
      </w:tr>
      <w:tr w:rsidR="00610883" w:rsidRPr="0035230C" w14:paraId="21FEA551" w14:textId="77777777" w:rsidTr="006A41F4">
        <w:trPr>
          <w:trHeight w:val="806"/>
        </w:trPr>
        <w:tc>
          <w:tcPr>
            <w:tcW w:w="1555" w:type="dxa"/>
            <w:shd w:val="clear" w:color="auto" w:fill="auto"/>
          </w:tcPr>
          <w:p w14:paraId="05A6C887" w14:textId="61AA6CBD" w:rsidR="00610883" w:rsidRPr="0035230C" w:rsidRDefault="00B837CF" w:rsidP="006A41F4">
            <w:pPr>
              <w:rPr>
                <w:rFonts w:cs="Arial"/>
              </w:rPr>
            </w:pPr>
            <w:r w:rsidRPr="0035230C">
              <w:rPr>
                <w:rFonts w:cs="Arial"/>
              </w:rPr>
              <w:t>Chile</w:t>
            </w:r>
          </w:p>
        </w:tc>
        <w:tc>
          <w:tcPr>
            <w:tcW w:w="2551" w:type="dxa"/>
            <w:shd w:val="clear" w:color="auto" w:fill="auto"/>
          </w:tcPr>
          <w:p w14:paraId="6A679731" w14:textId="77777777" w:rsidR="00610883" w:rsidRPr="0035230C" w:rsidRDefault="00610883" w:rsidP="006A41F4">
            <w:pPr>
              <w:rPr>
                <w:rFonts w:cs="Arial"/>
              </w:rPr>
            </w:pPr>
            <w:r w:rsidRPr="0035230C">
              <w:rPr>
                <w:rFonts w:cs="Arial"/>
              </w:rPr>
              <w:t>J</w:t>
            </w:r>
            <w:r>
              <w:rPr>
                <w:rFonts w:cs="Arial"/>
              </w:rPr>
              <w:t>uan</w:t>
            </w:r>
            <w:r w:rsidRPr="0035230C">
              <w:rPr>
                <w:rFonts w:cs="Arial"/>
              </w:rPr>
              <w:t>, Fierro</w:t>
            </w:r>
          </w:p>
        </w:tc>
        <w:tc>
          <w:tcPr>
            <w:tcW w:w="4394" w:type="dxa"/>
            <w:shd w:val="clear" w:color="auto" w:fill="auto"/>
          </w:tcPr>
          <w:p w14:paraId="23201CD4" w14:textId="77777777" w:rsidR="00610883" w:rsidRPr="0035230C" w:rsidRDefault="00610883" w:rsidP="006A41F4">
            <w:pPr>
              <w:rPr>
                <w:rFonts w:cs="Arial"/>
              </w:rPr>
            </w:pPr>
            <w:r w:rsidRPr="0035230C">
              <w:rPr>
                <w:rFonts w:cs="Arial"/>
              </w:rPr>
              <w:t>SHOA</w:t>
            </w:r>
          </w:p>
        </w:tc>
      </w:tr>
      <w:tr w:rsidR="00610883" w:rsidRPr="0035230C" w14:paraId="3D108CB3" w14:textId="77777777" w:rsidTr="006A41F4">
        <w:trPr>
          <w:trHeight w:val="806"/>
        </w:trPr>
        <w:tc>
          <w:tcPr>
            <w:tcW w:w="1555" w:type="dxa"/>
            <w:shd w:val="clear" w:color="auto" w:fill="auto"/>
          </w:tcPr>
          <w:p w14:paraId="4118E606" w14:textId="77777777" w:rsidR="00610883" w:rsidRPr="0035230C" w:rsidRDefault="00610883" w:rsidP="006A41F4">
            <w:pPr>
              <w:rPr>
                <w:rFonts w:cs="Arial"/>
              </w:rPr>
            </w:pPr>
            <w:r w:rsidRPr="0035230C">
              <w:rPr>
                <w:rFonts w:cs="Arial"/>
              </w:rPr>
              <w:t>Germany</w:t>
            </w:r>
          </w:p>
        </w:tc>
        <w:tc>
          <w:tcPr>
            <w:tcW w:w="2551" w:type="dxa"/>
            <w:shd w:val="clear" w:color="auto" w:fill="auto"/>
          </w:tcPr>
          <w:p w14:paraId="733D4699" w14:textId="77777777" w:rsidR="00610883" w:rsidRPr="0035230C" w:rsidRDefault="00610883" w:rsidP="006A41F4">
            <w:pPr>
              <w:rPr>
                <w:rFonts w:cs="Arial"/>
              </w:rPr>
            </w:pPr>
            <w:r w:rsidRPr="0035230C">
              <w:rPr>
                <w:rFonts w:cs="Arial"/>
              </w:rPr>
              <w:t>Wunsch, Matthias</w:t>
            </w:r>
          </w:p>
        </w:tc>
        <w:tc>
          <w:tcPr>
            <w:tcW w:w="4394" w:type="dxa"/>
            <w:shd w:val="clear" w:color="auto" w:fill="auto"/>
          </w:tcPr>
          <w:p w14:paraId="10CA544B" w14:textId="77777777" w:rsidR="00610883" w:rsidRPr="0035230C" w:rsidRDefault="00610883" w:rsidP="006A41F4">
            <w:pPr>
              <w:rPr>
                <w:rFonts w:cs="Arial"/>
              </w:rPr>
            </w:pPr>
            <w:r w:rsidRPr="0035230C">
              <w:rPr>
                <w:rFonts w:cs="Arial"/>
              </w:rPr>
              <w:t>IOC Focal Point (at the Federal Maritime and Hydrographic Agency - BSH)</w:t>
            </w:r>
          </w:p>
        </w:tc>
      </w:tr>
      <w:tr w:rsidR="00610883" w:rsidRPr="0035230C" w14:paraId="2E673ED0" w14:textId="77777777" w:rsidTr="006A41F4">
        <w:trPr>
          <w:trHeight w:val="806"/>
        </w:trPr>
        <w:tc>
          <w:tcPr>
            <w:tcW w:w="1555" w:type="dxa"/>
            <w:shd w:val="clear" w:color="auto" w:fill="auto"/>
          </w:tcPr>
          <w:p w14:paraId="3EF2857F" w14:textId="77777777" w:rsidR="00610883" w:rsidRPr="0035230C" w:rsidRDefault="00610883" w:rsidP="006A41F4">
            <w:pPr>
              <w:rPr>
                <w:rFonts w:cs="Arial"/>
              </w:rPr>
            </w:pPr>
            <w:r w:rsidRPr="0035230C">
              <w:rPr>
                <w:rFonts w:cs="Arial"/>
              </w:rPr>
              <w:t>Japan</w:t>
            </w:r>
          </w:p>
        </w:tc>
        <w:tc>
          <w:tcPr>
            <w:tcW w:w="2551" w:type="dxa"/>
            <w:shd w:val="clear" w:color="auto" w:fill="auto"/>
          </w:tcPr>
          <w:p w14:paraId="78F82423" w14:textId="77777777" w:rsidR="00610883" w:rsidRPr="0035230C" w:rsidRDefault="00610883" w:rsidP="006A41F4">
            <w:pPr>
              <w:rPr>
                <w:rFonts w:cs="Arial"/>
              </w:rPr>
            </w:pPr>
            <w:r w:rsidRPr="0035230C">
              <w:rPr>
                <w:rFonts w:cs="Arial"/>
              </w:rPr>
              <w:t>M</w:t>
            </w:r>
            <w:r>
              <w:rPr>
                <w:rFonts w:cs="Arial"/>
              </w:rPr>
              <w:t>ichida</w:t>
            </w:r>
            <w:r w:rsidRPr="0035230C">
              <w:rPr>
                <w:rFonts w:cs="Arial"/>
              </w:rPr>
              <w:t>, Yutaka</w:t>
            </w:r>
          </w:p>
        </w:tc>
        <w:tc>
          <w:tcPr>
            <w:tcW w:w="4394" w:type="dxa"/>
            <w:shd w:val="clear" w:color="auto" w:fill="auto"/>
          </w:tcPr>
          <w:p w14:paraId="628F4C19" w14:textId="77777777" w:rsidR="00610883" w:rsidRPr="0035230C" w:rsidRDefault="00610883" w:rsidP="006A41F4">
            <w:pPr>
              <w:rPr>
                <w:rFonts w:cs="Arial"/>
              </w:rPr>
            </w:pPr>
            <w:r w:rsidRPr="0035230C">
              <w:rPr>
                <w:rFonts w:cs="Arial"/>
              </w:rPr>
              <w:t>Chief of the IOC Japanese National Committee</w:t>
            </w:r>
          </w:p>
        </w:tc>
      </w:tr>
      <w:tr w:rsidR="00610883" w:rsidRPr="0035230C" w14:paraId="27508414" w14:textId="77777777" w:rsidTr="006A41F4">
        <w:trPr>
          <w:trHeight w:val="806"/>
        </w:trPr>
        <w:tc>
          <w:tcPr>
            <w:tcW w:w="1555" w:type="dxa"/>
            <w:shd w:val="clear" w:color="auto" w:fill="auto"/>
          </w:tcPr>
          <w:p w14:paraId="49E18256" w14:textId="77777777" w:rsidR="00610883" w:rsidRPr="0035230C" w:rsidRDefault="00610883" w:rsidP="006A41F4">
            <w:pPr>
              <w:rPr>
                <w:rFonts w:cs="Arial"/>
              </w:rPr>
            </w:pPr>
            <w:r w:rsidRPr="0035230C">
              <w:rPr>
                <w:rFonts w:cs="Arial"/>
              </w:rPr>
              <w:t>Kuwait</w:t>
            </w:r>
          </w:p>
        </w:tc>
        <w:tc>
          <w:tcPr>
            <w:tcW w:w="2551" w:type="dxa"/>
            <w:shd w:val="clear" w:color="auto" w:fill="auto"/>
          </w:tcPr>
          <w:p w14:paraId="6B51EFBC" w14:textId="77777777" w:rsidR="00610883" w:rsidRPr="0035230C" w:rsidRDefault="00610883" w:rsidP="006A41F4">
            <w:pPr>
              <w:rPr>
                <w:rFonts w:cs="Arial"/>
              </w:rPr>
            </w:pPr>
            <w:r w:rsidRPr="0035230C">
              <w:rPr>
                <w:rFonts w:cs="Arial"/>
              </w:rPr>
              <w:t>Al-Yamani, Faiza</w:t>
            </w:r>
          </w:p>
        </w:tc>
        <w:tc>
          <w:tcPr>
            <w:tcW w:w="4394" w:type="dxa"/>
            <w:shd w:val="clear" w:color="auto" w:fill="auto"/>
          </w:tcPr>
          <w:p w14:paraId="4166FEFA" w14:textId="77777777" w:rsidR="00610883" w:rsidRPr="0035230C" w:rsidRDefault="00610883" w:rsidP="006A41F4">
            <w:pPr>
              <w:rPr>
                <w:rFonts w:cs="Arial"/>
              </w:rPr>
            </w:pPr>
            <w:r w:rsidRPr="0035230C">
              <w:rPr>
                <w:rFonts w:cs="Arial"/>
              </w:rPr>
              <w:t>Kuwait Institute for Scientific Research</w:t>
            </w:r>
          </w:p>
        </w:tc>
      </w:tr>
      <w:tr w:rsidR="00610883" w:rsidRPr="00B80530" w14:paraId="3B8CAA29" w14:textId="77777777" w:rsidTr="006A41F4">
        <w:trPr>
          <w:trHeight w:val="806"/>
        </w:trPr>
        <w:tc>
          <w:tcPr>
            <w:tcW w:w="1555" w:type="dxa"/>
            <w:shd w:val="clear" w:color="auto" w:fill="auto"/>
          </w:tcPr>
          <w:p w14:paraId="56E7C323" w14:textId="19B7A685" w:rsidR="00610883" w:rsidRPr="0035230C" w:rsidRDefault="00B837CF" w:rsidP="006A41F4">
            <w:pPr>
              <w:rPr>
                <w:rFonts w:cs="Arial"/>
              </w:rPr>
            </w:pPr>
            <w:r w:rsidRPr="0035230C">
              <w:rPr>
                <w:rFonts w:cs="Arial"/>
              </w:rPr>
              <w:t>Senegal</w:t>
            </w:r>
          </w:p>
        </w:tc>
        <w:tc>
          <w:tcPr>
            <w:tcW w:w="2551" w:type="dxa"/>
            <w:shd w:val="clear" w:color="auto" w:fill="auto"/>
          </w:tcPr>
          <w:p w14:paraId="143607AF" w14:textId="77777777" w:rsidR="00610883" w:rsidRPr="0035230C" w:rsidRDefault="00610883" w:rsidP="006A41F4">
            <w:pPr>
              <w:rPr>
                <w:rFonts w:cs="Arial"/>
              </w:rPr>
            </w:pPr>
            <w:proofErr w:type="spellStart"/>
            <w:r w:rsidRPr="0035230C">
              <w:rPr>
                <w:rFonts w:cs="Arial"/>
              </w:rPr>
              <w:t>D</w:t>
            </w:r>
            <w:r>
              <w:rPr>
                <w:rFonts w:cs="Arial"/>
              </w:rPr>
              <w:t>ioh</w:t>
            </w:r>
            <w:proofErr w:type="spellEnd"/>
            <w:r w:rsidRPr="0035230C">
              <w:rPr>
                <w:rFonts w:cs="Arial"/>
              </w:rPr>
              <w:t>, Mariama</w:t>
            </w:r>
          </w:p>
        </w:tc>
        <w:tc>
          <w:tcPr>
            <w:tcW w:w="4394" w:type="dxa"/>
            <w:shd w:val="clear" w:color="auto" w:fill="auto"/>
          </w:tcPr>
          <w:p w14:paraId="77D1829D" w14:textId="77777777" w:rsidR="00610883" w:rsidRPr="0035230C" w:rsidRDefault="00610883" w:rsidP="006A41F4">
            <w:pPr>
              <w:rPr>
                <w:rFonts w:cs="Arial"/>
                <w:lang w:val="fr-FR"/>
              </w:rPr>
            </w:pPr>
            <w:r w:rsidRPr="0035230C">
              <w:rPr>
                <w:rFonts w:cs="Arial"/>
                <w:lang w:val="fr-FR"/>
              </w:rPr>
              <w:t>Ministère des Pêches et de l’Economie Maritime / Direction des Pêches Maritimes</w:t>
            </w:r>
          </w:p>
        </w:tc>
      </w:tr>
      <w:tr w:rsidR="00610883" w:rsidRPr="0035230C" w14:paraId="67E6CF0C" w14:textId="77777777" w:rsidTr="006A41F4">
        <w:trPr>
          <w:trHeight w:val="806"/>
        </w:trPr>
        <w:tc>
          <w:tcPr>
            <w:tcW w:w="1555" w:type="dxa"/>
            <w:shd w:val="clear" w:color="auto" w:fill="auto"/>
          </w:tcPr>
          <w:p w14:paraId="1E68BABE" w14:textId="77777777" w:rsidR="00610883" w:rsidRPr="0035230C" w:rsidRDefault="00610883" w:rsidP="006A41F4">
            <w:pPr>
              <w:rPr>
                <w:rFonts w:cs="Arial"/>
              </w:rPr>
            </w:pPr>
            <w:r w:rsidRPr="0035230C">
              <w:rPr>
                <w:rFonts w:cs="Arial"/>
              </w:rPr>
              <w:t>USA</w:t>
            </w:r>
          </w:p>
        </w:tc>
        <w:tc>
          <w:tcPr>
            <w:tcW w:w="2551" w:type="dxa"/>
            <w:shd w:val="clear" w:color="auto" w:fill="auto"/>
          </w:tcPr>
          <w:p w14:paraId="32D0C851" w14:textId="77777777" w:rsidR="00610883" w:rsidRPr="0035230C" w:rsidRDefault="00610883" w:rsidP="006A41F4">
            <w:pPr>
              <w:rPr>
                <w:rFonts w:cs="Arial"/>
              </w:rPr>
            </w:pPr>
            <w:r w:rsidRPr="0035230C">
              <w:rPr>
                <w:rFonts w:cs="Arial"/>
              </w:rPr>
              <w:t>Naughton, Joseph</w:t>
            </w:r>
          </w:p>
        </w:tc>
        <w:tc>
          <w:tcPr>
            <w:tcW w:w="4394" w:type="dxa"/>
            <w:shd w:val="clear" w:color="auto" w:fill="auto"/>
          </w:tcPr>
          <w:p w14:paraId="0EA1953C" w14:textId="77777777" w:rsidR="00610883" w:rsidRPr="0035230C" w:rsidRDefault="00610883" w:rsidP="006A41F4">
            <w:pPr>
              <w:rPr>
                <w:rFonts w:cs="Arial"/>
              </w:rPr>
            </w:pPr>
            <w:r w:rsidRPr="0035230C">
              <w:rPr>
                <w:rFonts w:cs="Arial"/>
              </w:rPr>
              <w:t>NOAA</w:t>
            </w:r>
          </w:p>
        </w:tc>
      </w:tr>
      <w:tr w:rsidR="00610883" w:rsidRPr="0035230C" w14:paraId="311BF6FB" w14:textId="77777777" w:rsidTr="006A41F4">
        <w:trPr>
          <w:trHeight w:val="806"/>
        </w:trPr>
        <w:tc>
          <w:tcPr>
            <w:tcW w:w="1555" w:type="dxa"/>
            <w:shd w:val="clear" w:color="auto" w:fill="auto"/>
          </w:tcPr>
          <w:p w14:paraId="1CA1FEAA" w14:textId="77777777" w:rsidR="00610883" w:rsidRPr="0035230C" w:rsidRDefault="00610883" w:rsidP="006A41F4">
            <w:pPr>
              <w:rPr>
                <w:rFonts w:cs="Arial"/>
              </w:rPr>
            </w:pPr>
            <w:r w:rsidRPr="0035230C">
              <w:rPr>
                <w:rFonts w:cs="Arial"/>
              </w:rPr>
              <w:t>France</w:t>
            </w:r>
          </w:p>
        </w:tc>
        <w:tc>
          <w:tcPr>
            <w:tcW w:w="2551" w:type="dxa"/>
            <w:shd w:val="clear" w:color="auto" w:fill="auto"/>
          </w:tcPr>
          <w:p w14:paraId="0DB38A8A" w14:textId="77777777" w:rsidR="00610883" w:rsidRPr="0035230C" w:rsidRDefault="00610883" w:rsidP="006A41F4">
            <w:pPr>
              <w:rPr>
                <w:rFonts w:cs="Arial"/>
                <w:color w:val="000000"/>
              </w:rPr>
            </w:pPr>
            <w:r w:rsidRPr="0035230C">
              <w:rPr>
                <w:rFonts w:cs="Arial"/>
              </w:rPr>
              <w:t>Belbeoch, Mathieu</w:t>
            </w:r>
          </w:p>
        </w:tc>
        <w:tc>
          <w:tcPr>
            <w:tcW w:w="4394" w:type="dxa"/>
            <w:shd w:val="clear" w:color="auto" w:fill="auto"/>
          </w:tcPr>
          <w:p w14:paraId="3BD68E40" w14:textId="77777777" w:rsidR="00610883" w:rsidRPr="0035230C" w:rsidRDefault="00610883" w:rsidP="006A41F4">
            <w:pPr>
              <w:rPr>
                <w:rFonts w:cs="Arial"/>
              </w:rPr>
            </w:pPr>
            <w:r w:rsidRPr="0035230C">
              <w:rPr>
                <w:rFonts w:cs="Arial"/>
                <w:highlight w:val="white"/>
              </w:rPr>
              <w:t>Ocean OPS</w:t>
            </w:r>
          </w:p>
        </w:tc>
      </w:tr>
      <w:tr w:rsidR="00610883" w:rsidRPr="0035230C" w14:paraId="4443386A" w14:textId="77777777" w:rsidTr="006A41F4">
        <w:trPr>
          <w:trHeight w:val="806"/>
        </w:trPr>
        <w:tc>
          <w:tcPr>
            <w:tcW w:w="1555" w:type="dxa"/>
            <w:shd w:val="clear" w:color="auto" w:fill="auto"/>
          </w:tcPr>
          <w:p w14:paraId="18DECAD6" w14:textId="77777777" w:rsidR="00610883" w:rsidRPr="0035230C" w:rsidRDefault="00610883" w:rsidP="006A41F4">
            <w:pPr>
              <w:rPr>
                <w:rFonts w:cs="Arial"/>
                <w:highlight w:val="white"/>
              </w:rPr>
            </w:pPr>
            <w:r w:rsidRPr="0035230C">
              <w:rPr>
                <w:rFonts w:cs="Arial"/>
                <w:highlight w:val="white"/>
              </w:rPr>
              <w:t>IOC</w:t>
            </w:r>
          </w:p>
        </w:tc>
        <w:tc>
          <w:tcPr>
            <w:tcW w:w="2551" w:type="dxa"/>
            <w:shd w:val="clear" w:color="auto" w:fill="auto"/>
          </w:tcPr>
          <w:p w14:paraId="36182A71" w14:textId="77777777" w:rsidR="00610883" w:rsidRPr="0035230C" w:rsidRDefault="00610883" w:rsidP="006A41F4">
            <w:pPr>
              <w:rPr>
                <w:rFonts w:cs="Arial"/>
                <w:highlight w:val="white"/>
              </w:rPr>
            </w:pPr>
            <w:r w:rsidRPr="0035230C">
              <w:rPr>
                <w:rFonts w:cs="Arial"/>
              </w:rPr>
              <w:t>Barbière, Julian</w:t>
            </w:r>
          </w:p>
          <w:p w14:paraId="5820FB74" w14:textId="77777777" w:rsidR="00610883" w:rsidRPr="0035230C" w:rsidRDefault="00610883" w:rsidP="006A41F4">
            <w:pPr>
              <w:rPr>
                <w:rFonts w:cs="Arial"/>
                <w:color w:val="000000"/>
                <w:highlight w:val="white"/>
              </w:rPr>
            </w:pPr>
            <w:r w:rsidRPr="0035230C">
              <w:rPr>
                <w:rFonts w:cs="Arial"/>
              </w:rPr>
              <w:t>Clausen, Alison</w:t>
            </w:r>
          </w:p>
        </w:tc>
        <w:tc>
          <w:tcPr>
            <w:tcW w:w="4394" w:type="dxa"/>
            <w:shd w:val="clear" w:color="auto" w:fill="auto"/>
          </w:tcPr>
          <w:p w14:paraId="045B7925" w14:textId="77777777" w:rsidR="00610883" w:rsidRPr="0035230C" w:rsidRDefault="00610883" w:rsidP="006A41F4">
            <w:pPr>
              <w:rPr>
                <w:rFonts w:cs="Arial"/>
                <w:highlight w:val="white"/>
              </w:rPr>
            </w:pPr>
            <w:r w:rsidRPr="0035230C">
              <w:rPr>
                <w:rFonts w:cs="Arial"/>
                <w:highlight w:val="white"/>
              </w:rPr>
              <w:t>MPR/DCU, IOC Secretariat</w:t>
            </w:r>
          </w:p>
        </w:tc>
      </w:tr>
      <w:tr w:rsidR="00610883" w:rsidRPr="0035230C" w14:paraId="6DA7B8B1" w14:textId="77777777" w:rsidTr="006A41F4">
        <w:trPr>
          <w:trHeight w:val="806"/>
        </w:trPr>
        <w:tc>
          <w:tcPr>
            <w:tcW w:w="1555" w:type="dxa"/>
            <w:shd w:val="clear" w:color="auto" w:fill="auto"/>
          </w:tcPr>
          <w:p w14:paraId="61D80848" w14:textId="77777777" w:rsidR="00610883" w:rsidRPr="0035230C" w:rsidRDefault="00610883" w:rsidP="006A41F4">
            <w:pPr>
              <w:rPr>
                <w:rFonts w:cs="Arial"/>
                <w:highlight w:val="white"/>
              </w:rPr>
            </w:pPr>
            <w:r w:rsidRPr="0035230C">
              <w:rPr>
                <w:rFonts w:cs="Arial"/>
                <w:highlight w:val="white"/>
              </w:rPr>
              <w:t>IOC</w:t>
            </w:r>
          </w:p>
        </w:tc>
        <w:tc>
          <w:tcPr>
            <w:tcW w:w="2551" w:type="dxa"/>
            <w:shd w:val="clear" w:color="auto" w:fill="auto"/>
          </w:tcPr>
          <w:p w14:paraId="37C2A0D3" w14:textId="77777777" w:rsidR="00610883" w:rsidRPr="0035230C" w:rsidRDefault="00610883" w:rsidP="006A41F4">
            <w:pPr>
              <w:rPr>
                <w:rFonts w:cs="Arial"/>
                <w:color w:val="000000"/>
                <w:highlight w:val="white"/>
              </w:rPr>
            </w:pPr>
            <w:r w:rsidRPr="0035230C">
              <w:rPr>
                <w:rFonts w:cs="Arial"/>
              </w:rPr>
              <w:t>Heslop, Emma</w:t>
            </w:r>
          </w:p>
        </w:tc>
        <w:tc>
          <w:tcPr>
            <w:tcW w:w="4394" w:type="dxa"/>
            <w:shd w:val="clear" w:color="auto" w:fill="auto"/>
          </w:tcPr>
          <w:p w14:paraId="40A0A35B" w14:textId="77777777" w:rsidR="00610883" w:rsidRPr="0035230C" w:rsidRDefault="00610883" w:rsidP="006A41F4">
            <w:pPr>
              <w:rPr>
                <w:rFonts w:cs="Arial"/>
                <w:highlight w:val="white"/>
              </w:rPr>
            </w:pPr>
            <w:r w:rsidRPr="0035230C">
              <w:rPr>
                <w:rFonts w:cs="Arial"/>
                <w:highlight w:val="white"/>
              </w:rPr>
              <w:t>OOS, IOC Secretariat</w:t>
            </w:r>
          </w:p>
        </w:tc>
      </w:tr>
      <w:tr w:rsidR="00610883" w:rsidRPr="0035230C" w14:paraId="242262DF" w14:textId="77777777" w:rsidTr="006A41F4">
        <w:trPr>
          <w:trHeight w:val="806"/>
        </w:trPr>
        <w:tc>
          <w:tcPr>
            <w:tcW w:w="1555" w:type="dxa"/>
            <w:shd w:val="clear" w:color="auto" w:fill="auto"/>
          </w:tcPr>
          <w:p w14:paraId="566547F3" w14:textId="77777777" w:rsidR="00610883" w:rsidRPr="0035230C" w:rsidRDefault="00610883" w:rsidP="006A41F4">
            <w:pPr>
              <w:rPr>
                <w:rFonts w:cs="Arial"/>
                <w:highlight w:val="white"/>
              </w:rPr>
            </w:pPr>
            <w:r w:rsidRPr="0035230C">
              <w:rPr>
                <w:rFonts w:cs="Arial"/>
                <w:highlight w:val="white"/>
              </w:rPr>
              <w:t>IOC</w:t>
            </w:r>
          </w:p>
        </w:tc>
        <w:tc>
          <w:tcPr>
            <w:tcW w:w="2551" w:type="dxa"/>
            <w:shd w:val="clear" w:color="auto" w:fill="auto"/>
          </w:tcPr>
          <w:p w14:paraId="0686139E" w14:textId="77777777" w:rsidR="00610883" w:rsidRPr="0035230C" w:rsidRDefault="00610883" w:rsidP="006A41F4">
            <w:pPr>
              <w:rPr>
                <w:rFonts w:cs="Arial"/>
                <w:color w:val="000000"/>
                <w:highlight w:val="white"/>
              </w:rPr>
            </w:pPr>
            <w:r w:rsidRPr="0035230C">
              <w:rPr>
                <w:rFonts w:cs="Arial"/>
              </w:rPr>
              <w:t>Pissierssens, Peter</w:t>
            </w:r>
          </w:p>
        </w:tc>
        <w:tc>
          <w:tcPr>
            <w:tcW w:w="4394" w:type="dxa"/>
            <w:shd w:val="clear" w:color="auto" w:fill="auto"/>
          </w:tcPr>
          <w:p w14:paraId="60AB3BCF" w14:textId="77777777" w:rsidR="00610883" w:rsidRPr="0035230C" w:rsidRDefault="00610883" w:rsidP="006A41F4">
            <w:pPr>
              <w:rPr>
                <w:rFonts w:cs="Arial"/>
                <w:highlight w:val="white"/>
              </w:rPr>
            </w:pPr>
            <w:r w:rsidRPr="0035230C">
              <w:rPr>
                <w:rFonts w:cs="Arial"/>
                <w:highlight w:val="white"/>
              </w:rPr>
              <w:t>CD/IODE, IOC Secretariat</w:t>
            </w:r>
          </w:p>
        </w:tc>
      </w:tr>
      <w:tr w:rsidR="00610883" w:rsidRPr="0035230C" w14:paraId="36463441" w14:textId="77777777" w:rsidTr="006A41F4">
        <w:trPr>
          <w:trHeight w:val="806"/>
        </w:trPr>
        <w:tc>
          <w:tcPr>
            <w:tcW w:w="1555" w:type="dxa"/>
            <w:shd w:val="clear" w:color="auto" w:fill="auto"/>
          </w:tcPr>
          <w:p w14:paraId="5637C35A" w14:textId="77777777" w:rsidR="00610883" w:rsidRPr="0035230C" w:rsidRDefault="00610883" w:rsidP="006A41F4">
            <w:pPr>
              <w:rPr>
                <w:rFonts w:cs="Arial"/>
                <w:highlight w:val="white"/>
              </w:rPr>
            </w:pPr>
            <w:r w:rsidRPr="0035230C">
              <w:rPr>
                <w:rFonts w:cs="Arial"/>
                <w:highlight w:val="white"/>
              </w:rPr>
              <w:t>IOC</w:t>
            </w:r>
          </w:p>
        </w:tc>
        <w:tc>
          <w:tcPr>
            <w:tcW w:w="2551" w:type="dxa"/>
            <w:shd w:val="clear" w:color="auto" w:fill="auto"/>
          </w:tcPr>
          <w:p w14:paraId="344E3255" w14:textId="77777777" w:rsidR="00610883" w:rsidRPr="0035230C" w:rsidRDefault="00610883" w:rsidP="006A41F4">
            <w:pPr>
              <w:rPr>
                <w:rFonts w:cs="Arial"/>
              </w:rPr>
            </w:pPr>
            <w:r w:rsidRPr="0035230C">
              <w:rPr>
                <w:rFonts w:cs="Arial"/>
              </w:rPr>
              <w:t xml:space="preserve">Aliaga, Bernardo </w:t>
            </w:r>
          </w:p>
          <w:p w14:paraId="36EDAA2A" w14:textId="77777777" w:rsidR="00610883" w:rsidRPr="0035230C" w:rsidRDefault="00610883" w:rsidP="006A41F4">
            <w:pPr>
              <w:rPr>
                <w:rFonts w:cs="Arial"/>
                <w:color w:val="000000"/>
                <w:highlight w:val="white"/>
              </w:rPr>
            </w:pPr>
            <w:r w:rsidRPr="0035230C">
              <w:rPr>
                <w:rFonts w:cs="Arial"/>
              </w:rPr>
              <w:t>Chang Seng, Denis</w:t>
            </w:r>
          </w:p>
        </w:tc>
        <w:tc>
          <w:tcPr>
            <w:tcW w:w="4394" w:type="dxa"/>
            <w:shd w:val="clear" w:color="auto" w:fill="auto"/>
          </w:tcPr>
          <w:p w14:paraId="56A5EB71" w14:textId="77777777" w:rsidR="00610883" w:rsidRPr="0035230C" w:rsidRDefault="00610883" w:rsidP="006A41F4">
            <w:pPr>
              <w:rPr>
                <w:rFonts w:cs="Arial"/>
                <w:highlight w:val="white"/>
              </w:rPr>
            </w:pPr>
            <w:r w:rsidRPr="0035230C">
              <w:rPr>
                <w:rFonts w:cs="Arial"/>
                <w:highlight w:val="white"/>
              </w:rPr>
              <w:t>TSR, IOC Secretariat</w:t>
            </w:r>
          </w:p>
        </w:tc>
      </w:tr>
    </w:tbl>
    <w:p w14:paraId="3E4F7229" w14:textId="77777777" w:rsidR="00610883" w:rsidRPr="0035230C" w:rsidRDefault="00610883" w:rsidP="00610883">
      <w:pPr>
        <w:rPr>
          <w:rFonts w:cs="Arial"/>
        </w:rPr>
      </w:pPr>
    </w:p>
    <w:p w14:paraId="08DB72DA" w14:textId="77777777" w:rsidR="00610883" w:rsidRDefault="00610883" w:rsidP="00610883">
      <w:pPr>
        <w:widowControl w:val="0"/>
        <w:spacing w:before="180" w:line="360" w:lineRule="auto"/>
        <w:ind w:left="7" w:right="166"/>
        <w:jc w:val="both"/>
        <w:rPr>
          <w:rFonts w:ascii="Times New Roman" w:hAnsi="Times New Roman"/>
        </w:rPr>
      </w:pPr>
      <w:r>
        <w:br w:type="page"/>
      </w:r>
    </w:p>
    <w:p w14:paraId="3E760B59" w14:textId="302EE13D" w:rsidR="009E517E" w:rsidRPr="00851D33" w:rsidRDefault="009E517E" w:rsidP="00851D33">
      <w:pPr>
        <w:pStyle w:val="Heading3"/>
        <w:rPr>
          <w:b w:val="0"/>
        </w:rPr>
      </w:pPr>
      <w:r w:rsidRPr="009E517E">
        <w:lastRenderedPageBreak/>
        <w:t xml:space="preserve">ANNEX </w:t>
      </w:r>
      <w:r w:rsidR="00610883">
        <w:t>3</w:t>
      </w:r>
      <w:r w:rsidR="00A67449">
        <w:t xml:space="preserve">: </w:t>
      </w:r>
      <w:r w:rsidR="00A67449">
        <w:rPr>
          <w:rFonts w:cs="Arial"/>
        </w:rPr>
        <w:t>Seven</w:t>
      </w:r>
      <w:r w:rsidR="00A67449" w:rsidRPr="00670721">
        <w:t xml:space="preserve"> Ocean Decade Outcomes and relevant themes for storylines</w:t>
      </w:r>
    </w:p>
    <w:p w14:paraId="39BB9CBB" w14:textId="6469648E" w:rsidR="009E517E" w:rsidRPr="009E517E" w:rsidRDefault="009E517E" w:rsidP="009E517E">
      <w:pPr>
        <w:widowControl w:val="0"/>
        <w:pBdr>
          <w:top w:val="nil"/>
          <w:left w:val="nil"/>
          <w:bottom w:val="nil"/>
          <w:right w:val="nil"/>
          <w:between w:val="nil"/>
        </w:pBdr>
        <w:spacing w:before="180"/>
        <w:rPr>
          <w:rFonts w:cs="Arial"/>
        </w:rPr>
      </w:pPr>
      <w:r w:rsidRPr="009E517E">
        <w:rPr>
          <w:rFonts w:cs="Arial"/>
        </w:rPr>
        <w:t xml:space="preserve">The table below lists the </w:t>
      </w:r>
      <w:r w:rsidR="00A67449">
        <w:rPr>
          <w:rFonts w:cs="Arial"/>
        </w:rPr>
        <w:t>seven</w:t>
      </w:r>
      <w:r w:rsidRPr="009E517E">
        <w:rPr>
          <w:rFonts w:cs="Arial"/>
        </w:rPr>
        <w:t xml:space="preserve"> Ocean Decade Outcomes and themes potentially illustrating the status and trends towards achieving the Outcomes. Themes are supposed to assist in the identification of storyline topics. The list of themes should be considered preliminary and will develop further based on the input by the StOR Advisory </w:t>
      </w:r>
      <w:r w:rsidR="00093964" w:rsidRPr="009E517E">
        <w:rPr>
          <w:rFonts w:cs="Arial"/>
        </w:rPr>
        <w:t xml:space="preserve">Board </w:t>
      </w:r>
      <w:r w:rsidRPr="009E517E">
        <w:rPr>
          <w:rFonts w:cs="Arial"/>
        </w:rPr>
        <w:t xml:space="preserve">and consultations throughout the preparation of upcoming StOR editions. </w:t>
      </w:r>
    </w:p>
    <w:p w14:paraId="6D787D89" w14:textId="77777777" w:rsidR="009E517E" w:rsidRDefault="009E517E" w:rsidP="009E517E">
      <w:pPr>
        <w:widowControl w:val="0"/>
        <w:pBdr>
          <w:top w:val="nil"/>
          <w:left w:val="nil"/>
          <w:bottom w:val="nil"/>
          <w:right w:val="nil"/>
          <w:between w:val="nil"/>
        </w:pBdr>
        <w:spacing w:before="180"/>
        <w:rPr>
          <w:rFonts w:ascii="Times New Roman" w:hAnsi="Times New Roman"/>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599"/>
      </w:tblGrid>
      <w:tr w:rsidR="009E517E" w:rsidRPr="00401F06" w14:paraId="005B3D3E" w14:textId="77777777" w:rsidTr="00851D33">
        <w:trPr>
          <w:trHeight w:val="477"/>
        </w:trPr>
        <w:tc>
          <w:tcPr>
            <w:tcW w:w="3030" w:type="dxa"/>
            <w:shd w:val="clear" w:color="auto" w:fill="auto"/>
            <w:tcMar>
              <w:top w:w="100" w:type="dxa"/>
              <w:left w:w="100" w:type="dxa"/>
              <w:bottom w:w="100" w:type="dxa"/>
              <w:right w:w="100" w:type="dxa"/>
            </w:tcMar>
          </w:tcPr>
          <w:p w14:paraId="4274D52C" w14:textId="77777777" w:rsidR="009E517E" w:rsidRPr="00401F06" w:rsidRDefault="009E517E" w:rsidP="009D0223">
            <w:pPr>
              <w:widowControl w:val="0"/>
              <w:pBdr>
                <w:top w:val="nil"/>
                <w:left w:val="nil"/>
                <w:bottom w:val="nil"/>
                <w:right w:val="nil"/>
                <w:between w:val="nil"/>
              </w:pBdr>
              <w:rPr>
                <w:rFonts w:cs="Arial"/>
              </w:rPr>
            </w:pPr>
            <w:r w:rsidRPr="00401F06">
              <w:rPr>
                <w:rFonts w:cs="Arial"/>
                <w:color w:val="2E2E2E"/>
              </w:rPr>
              <w:t>A clean ocean where sources of pollution are identified and reduced or removed.</w:t>
            </w:r>
          </w:p>
        </w:tc>
        <w:tc>
          <w:tcPr>
            <w:tcW w:w="6599" w:type="dxa"/>
            <w:shd w:val="clear" w:color="auto" w:fill="auto"/>
            <w:tcMar>
              <w:top w:w="100" w:type="dxa"/>
              <w:left w:w="100" w:type="dxa"/>
              <w:bottom w:w="100" w:type="dxa"/>
              <w:right w:w="100" w:type="dxa"/>
            </w:tcMar>
          </w:tcPr>
          <w:p w14:paraId="1722E21D"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Status and trends of nutrients and eutrophication, plastic pollution</w:t>
            </w:r>
          </w:p>
          <w:p w14:paraId="30491FF1"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Strategies to reduce ocean pollution</w:t>
            </w:r>
          </w:p>
        </w:tc>
      </w:tr>
      <w:tr w:rsidR="009E517E" w:rsidRPr="00401F06" w14:paraId="38A7CD1C" w14:textId="77777777" w:rsidTr="00851D33">
        <w:tc>
          <w:tcPr>
            <w:tcW w:w="3030" w:type="dxa"/>
            <w:shd w:val="clear" w:color="auto" w:fill="auto"/>
            <w:tcMar>
              <w:top w:w="100" w:type="dxa"/>
              <w:left w:w="100" w:type="dxa"/>
              <w:bottom w:w="100" w:type="dxa"/>
              <w:right w:w="100" w:type="dxa"/>
            </w:tcMar>
          </w:tcPr>
          <w:p w14:paraId="47491B16" w14:textId="77777777" w:rsidR="009E517E" w:rsidRPr="00401F06" w:rsidRDefault="009E517E" w:rsidP="009D0223">
            <w:pPr>
              <w:widowControl w:val="0"/>
              <w:pBdr>
                <w:top w:val="nil"/>
                <w:left w:val="nil"/>
                <w:bottom w:val="nil"/>
                <w:right w:val="nil"/>
                <w:between w:val="nil"/>
              </w:pBdr>
              <w:rPr>
                <w:rFonts w:cs="Arial"/>
              </w:rPr>
            </w:pPr>
            <w:r w:rsidRPr="00401F06">
              <w:rPr>
                <w:rFonts w:cs="Arial"/>
                <w:color w:val="2E2E2E"/>
              </w:rPr>
              <w:t xml:space="preserve">A healthy and resilient ocean where marine ecosystems are understood, protected, </w:t>
            </w:r>
            <w:proofErr w:type="gramStart"/>
            <w:r w:rsidRPr="00401F06">
              <w:rPr>
                <w:rFonts w:cs="Arial"/>
                <w:color w:val="2E2E2E"/>
              </w:rPr>
              <w:t>restored</w:t>
            </w:r>
            <w:proofErr w:type="gramEnd"/>
            <w:r w:rsidRPr="00401F06">
              <w:rPr>
                <w:rFonts w:cs="Arial"/>
                <w:color w:val="2E2E2E"/>
              </w:rPr>
              <w:t xml:space="preserve"> and managed.</w:t>
            </w:r>
          </w:p>
        </w:tc>
        <w:tc>
          <w:tcPr>
            <w:tcW w:w="6599" w:type="dxa"/>
            <w:shd w:val="clear" w:color="auto" w:fill="auto"/>
            <w:tcMar>
              <w:top w:w="100" w:type="dxa"/>
              <w:left w:w="100" w:type="dxa"/>
              <w:bottom w:w="100" w:type="dxa"/>
              <w:right w:w="100" w:type="dxa"/>
            </w:tcMar>
          </w:tcPr>
          <w:p w14:paraId="5AA0F13C"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 xml:space="preserve">Status and trends of ocean stressors and their impacts, </w:t>
            </w:r>
            <w:proofErr w:type="gramStart"/>
            <w:r w:rsidRPr="00401F06">
              <w:rPr>
                <w:rFonts w:cs="Arial"/>
              </w:rPr>
              <w:t>e.g.</w:t>
            </w:r>
            <w:proofErr w:type="gramEnd"/>
            <w:r w:rsidRPr="00401F06">
              <w:rPr>
                <w:rFonts w:cs="Arial"/>
              </w:rPr>
              <w:t xml:space="preserve"> ocean acidification, warming, deoxygenation, sea level rise</w:t>
            </w:r>
          </w:p>
          <w:p w14:paraId="6B5375A4"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 xml:space="preserve">Status and trends of marine life, </w:t>
            </w:r>
            <w:proofErr w:type="gramStart"/>
            <w:r w:rsidRPr="00401F06">
              <w:rPr>
                <w:rFonts w:cs="Arial"/>
              </w:rPr>
              <w:t>e.g.</w:t>
            </w:r>
            <w:proofErr w:type="gramEnd"/>
            <w:r w:rsidRPr="00401F06">
              <w:rPr>
                <w:rFonts w:cs="Arial"/>
              </w:rPr>
              <w:t xml:space="preserve"> biodiversity, different functional groups.</w:t>
            </w:r>
          </w:p>
          <w:p w14:paraId="7BD51587"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Status and trends of marine protection, restoration, marine management</w:t>
            </w:r>
          </w:p>
        </w:tc>
      </w:tr>
      <w:tr w:rsidR="009E517E" w:rsidRPr="00401F06" w14:paraId="6581E1C3" w14:textId="77777777" w:rsidTr="00851D33">
        <w:tc>
          <w:tcPr>
            <w:tcW w:w="3030" w:type="dxa"/>
            <w:shd w:val="clear" w:color="auto" w:fill="auto"/>
            <w:tcMar>
              <w:top w:w="100" w:type="dxa"/>
              <w:left w:w="100" w:type="dxa"/>
              <w:bottom w:w="100" w:type="dxa"/>
              <w:right w:w="100" w:type="dxa"/>
            </w:tcMar>
          </w:tcPr>
          <w:p w14:paraId="187488C3" w14:textId="77777777" w:rsidR="009E517E" w:rsidRPr="00401F06" w:rsidRDefault="009E517E" w:rsidP="009D0223">
            <w:pPr>
              <w:widowControl w:val="0"/>
              <w:pBdr>
                <w:top w:val="nil"/>
                <w:left w:val="nil"/>
                <w:bottom w:val="nil"/>
                <w:right w:val="nil"/>
                <w:between w:val="nil"/>
              </w:pBdr>
              <w:rPr>
                <w:rFonts w:cs="Arial"/>
              </w:rPr>
            </w:pPr>
            <w:r w:rsidRPr="00401F06">
              <w:rPr>
                <w:rFonts w:cs="Arial"/>
                <w:color w:val="2E2E2E"/>
              </w:rPr>
              <w:t>A productive ocean supporting sustainable food supply and a sustainable ocean economy.</w:t>
            </w:r>
          </w:p>
        </w:tc>
        <w:tc>
          <w:tcPr>
            <w:tcW w:w="6599" w:type="dxa"/>
            <w:shd w:val="clear" w:color="auto" w:fill="auto"/>
            <w:tcMar>
              <w:top w:w="100" w:type="dxa"/>
              <w:left w:w="100" w:type="dxa"/>
              <w:bottom w:w="100" w:type="dxa"/>
              <w:right w:w="100" w:type="dxa"/>
            </w:tcMar>
          </w:tcPr>
          <w:p w14:paraId="49AF4F4C" w14:textId="0BE977F6" w:rsidR="009E517E" w:rsidRPr="00401F06" w:rsidRDefault="009E517E" w:rsidP="009D0223">
            <w:pPr>
              <w:widowControl w:val="0"/>
              <w:pBdr>
                <w:top w:val="nil"/>
                <w:left w:val="nil"/>
                <w:bottom w:val="nil"/>
                <w:right w:val="nil"/>
                <w:between w:val="nil"/>
              </w:pBdr>
              <w:rPr>
                <w:rFonts w:cs="Arial"/>
              </w:rPr>
            </w:pPr>
            <w:r w:rsidRPr="00401F06">
              <w:rPr>
                <w:rFonts w:cs="Arial"/>
              </w:rPr>
              <w:t>Status and trends of ocean economy and blue food, such as fisheries, aquaculture, maritime transport, coastal, marine and maritime tourism, other traditional uses, coastal renewable energy, marine ecosystem services (</w:t>
            </w:r>
            <w:proofErr w:type="gramStart"/>
            <w:r w:rsidRPr="00401F06">
              <w:rPr>
                <w:rFonts w:cs="Arial"/>
              </w:rPr>
              <w:t>i.e.</w:t>
            </w:r>
            <w:proofErr w:type="gramEnd"/>
            <w:r w:rsidRPr="00401F06">
              <w:rPr>
                <w:rFonts w:cs="Arial"/>
              </w:rPr>
              <w:t xml:space="preserve"> blue carbon), seabed mining, and bioprospecting </w:t>
            </w:r>
          </w:p>
        </w:tc>
      </w:tr>
      <w:tr w:rsidR="009E517E" w:rsidRPr="00401F06" w14:paraId="43E2FD43" w14:textId="77777777" w:rsidTr="00851D33">
        <w:tc>
          <w:tcPr>
            <w:tcW w:w="3030" w:type="dxa"/>
            <w:shd w:val="clear" w:color="auto" w:fill="auto"/>
            <w:tcMar>
              <w:top w:w="100" w:type="dxa"/>
              <w:left w:w="100" w:type="dxa"/>
              <w:bottom w:w="100" w:type="dxa"/>
              <w:right w:w="100" w:type="dxa"/>
            </w:tcMar>
          </w:tcPr>
          <w:p w14:paraId="42BED6CC" w14:textId="77777777" w:rsidR="009E517E" w:rsidRPr="00401F06" w:rsidRDefault="009E517E" w:rsidP="009D0223">
            <w:pPr>
              <w:widowControl w:val="0"/>
              <w:pBdr>
                <w:top w:val="nil"/>
                <w:left w:val="nil"/>
                <w:bottom w:val="nil"/>
                <w:right w:val="nil"/>
                <w:between w:val="nil"/>
              </w:pBdr>
              <w:rPr>
                <w:rFonts w:cs="Arial"/>
              </w:rPr>
            </w:pPr>
            <w:r w:rsidRPr="00401F06">
              <w:rPr>
                <w:rFonts w:cs="Arial"/>
                <w:color w:val="2E2E2E"/>
              </w:rPr>
              <w:t>A predicted ocean where society understands and can respond to changing ocean conditions.</w:t>
            </w:r>
          </w:p>
        </w:tc>
        <w:tc>
          <w:tcPr>
            <w:tcW w:w="6599" w:type="dxa"/>
            <w:shd w:val="clear" w:color="auto" w:fill="auto"/>
            <w:tcMar>
              <w:top w:w="100" w:type="dxa"/>
              <w:left w:w="100" w:type="dxa"/>
              <w:bottom w:w="100" w:type="dxa"/>
              <w:right w:w="100" w:type="dxa"/>
            </w:tcMar>
          </w:tcPr>
          <w:p w14:paraId="2E432B99"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 xml:space="preserve">Status and trends of ocean predictions </w:t>
            </w:r>
          </w:p>
          <w:p w14:paraId="61EC5E1A"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 xml:space="preserve">Status, trends and impacts of </w:t>
            </w:r>
            <w:proofErr w:type="gramStart"/>
            <w:r w:rsidRPr="00401F06">
              <w:rPr>
                <w:rFonts w:cs="Arial"/>
              </w:rPr>
              <w:t>ocean based</w:t>
            </w:r>
            <w:proofErr w:type="gramEnd"/>
            <w:r w:rsidRPr="00401F06">
              <w:rPr>
                <w:rFonts w:cs="Arial"/>
              </w:rPr>
              <w:t xml:space="preserve"> mitigation efforts, in particular marine carbon dioxide removal technologies </w:t>
            </w:r>
          </w:p>
        </w:tc>
      </w:tr>
      <w:tr w:rsidR="009E517E" w:rsidRPr="00401F06" w14:paraId="4581F452" w14:textId="77777777" w:rsidTr="00851D33">
        <w:tc>
          <w:tcPr>
            <w:tcW w:w="3030" w:type="dxa"/>
            <w:shd w:val="clear" w:color="auto" w:fill="auto"/>
            <w:tcMar>
              <w:top w:w="100" w:type="dxa"/>
              <w:left w:w="100" w:type="dxa"/>
              <w:bottom w:w="100" w:type="dxa"/>
              <w:right w:w="100" w:type="dxa"/>
            </w:tcMar>
          </w:tcPr>
          <w:p w14:paraId="761AC9CE" w14:textId="77777777" w:rsidR="009E517E" w:rsidRPr="00401F06" w:rsidRDefault="009E517E" w:rsidP="009D0223">
            <w:pPr>
              <w:widowControl w:val="0"/>
              <w:pBdr>
                <w:top w:val="nil"/>
                <w:left w:val="nil"/>
                <w:bottom w:val="nil"/>
                <w:right w:val="nil"/>
                <w:between w:val="nil"/>
              </w:pBdr>
              <w:rPr>
                <w:rFonts w:cs="Arial"/>
              </w:rPr>
            </w:pPr>
            <w:r w:rsidRPr="00401F06">
              <w:rPr>
                <w:rFonts w:cs="Arial"/>
                <w:color w:val="2E2E2E"/>
              </w:rPr>
              <w:t>A safe ocean where life and livelihoods are protected from ocean-related hazards.</w:t>
            </w:r>
          </w:p>
        </w:tc>
        <w:tc>
          <w:tcPr>
            <w:tcW w:w="6599" w:type="dxa"/>
            <w:shd w:val="clear" w:color="auto" w:fill="auto"/>
            <w:tcMar>
              <w:top w:w="100" w:type="dxa"/>
              <w:left w:w="100" w:type="dxa"/>
              <w:bottom w:w="100" w:type="dxa"/>
              <w:right w:w="100" w:type="dxa"/>
            </w:tcMar>
          </w:tcPr>
          <w:p w14:paraId="7CBCD533"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 xml:space="preserve">Status and trends in detection, monitoring, </w:t>
            </w:r>
            <w:proofErr w:type="gramStart"/>
            <w:r w:rsidRPr="00401F06">
              <w:rPr>
                <w:rFonts w:cs="Arial"/>
              </w:rPr>
              <w:t>warning</w:t>
            </w:r>
            <w:proofErr w:type="gramEnd"/>
            <w:r w:rsidRPr="00401F06">
              <w:rPr>
                <w:rFonts w:cs="Arial"/>
              </w:rPr>
              <w:t xml:space="preserve"> and response systems of ocean-related hazards.</w:t>
            </w:r>
          </w:p>
          <w:p w14:paraId="734BFEFC"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 xml:space="preserve">Status, </w:t>
            </w:r>
            <w:proofErr w:type="gramStart"/>
            <w:r w:rsidRPr="00401F06">
              <w:rPr>
                <w:rFonts w:cs="Arial"/>
              </w:rPr>
              <w:t>trends</w:t>
            </w:r>
            <w:proofErr w:type="gramEnd"/>
            <w:r w:rsidRPr="00401F06">
              <w:rPr>
                <w:rFonts w:cs="Arial"/>
              </w:rPr>
              <w:t xml:space="preserve"> and impacts of harmful algae blooms</w:t>
            </w:r>
          </w:p>
        </w:tc>
      </w:tr>
      <w:tr w:rsidR="009E517E" w:rsidRPr="00401F06" w14:paraId="756992B9" w14:textId="77777777" w:rsidTr="00851D33">
        <w:tc>
          <w:tcPr>
            <w:tcW w:w="3030" w:type="dxa"/>
            <w:shd w:val="clear" w:color="auto" w:fill="auto"/>
            <w:tcMar>
              <w:top w:w="100" w:type="dxa"/>
              <w:left w:w="100" w:type="dxa"/>
              <w:bottom w:w="100" w:type="dxa"/>
              <w:right w:w="100" w:type="dxa"/>
            </w:tcMar>
          </w:tcPr>
          <w:p w14:paraId="2586C17C" w14:textId="77777777" w:rsidR="009E517E" w:rsidRPr="00401F06" w:rsidRDefault="009E517E" w:rsidP="009D0223">
            <w:pPr>
              <w:widowControl w:val="0"/>
              <w:pBdr>
                <w:top w:val="nil"/>
                <w:left w:val="nil"/>
                <w:bottom w:val="nil"/>
                <w:right w:val="nil"/>
                <w:between w:val="nil"/>
              </w:pBdr>
              <w:rPr>
                <w:rFonts w:cs="Arial"/>
              </w:rPr>
            </w:pPr>
            <w:r w:rsidRPr="00401F06">
              <w:rPr>
                <w:rFonts w:cs="Arial"/>
                <w:color w:val="2E2E2E"/>
              </w:rPr>
              <w:t>An accessible ocean with open and equitable access to data, information and technology and innovation.</w:t>
            </w:r>
          </w:p>
        </w:tc>
        <w:tc>
          <w:tcPr>
            <w:tcW w:w="6599" w:type="dxa"/>
            <w:shd w:val="clear" w:color="auto" w:fill="auto"/>
            <w:tcMar>
              <w:top w:w="100" w:type="dxa"/>
              <w:left w:w="100" w:type="dxa"/>
              <w:bottom w:w="100" w:type="dxa"/>
              <w:right w:w="100" w:type="dxa"/>
            </w:tcMar>
          </w:tcPr>
          <w:p w14:paraId="3DB987C4"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 xml:space="preserve">Status and trends of the ocean observing </w:t>
            </w:r>
            <w:proofErr w:type="gramStart"/>
            <w:r w:rsidRPr="00401F06">
              <w:rPr>
                <w:rFonts w:cs="Arial"/>
              </w:rPr>
              <w:t>system</w:t>
            </w:r>
            <w:proofErr w:type="gramEnd"/>
          </w:p>
          <w:p w14:paraId="119A3C41"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Status and trends of ocean data management</w:t>
            </w:r>
          </w:p>
          <w:p w14:paraId="6506391E"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Status and trends of access to technological and human resources relevant for ocean activities</w:t>
            </w:r>
          </w:p>
          <w:p w14:paraId="3ACA13E2"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Status and trends of capacity building in the field of ocean science and marine management</w:t>
            </w:r>
          </w:p>
        </w:tc>
      </w:tr>
      <w:tr w:rsidR="009E517E" w:rsidRPr="00401F06" w14:paraId="1F023112" w14:textId="77777777" w:rsidTr="00851D33">
        <w:tc>
          <w:tcPr>
            <w:tcW w:w="3030" w:type="dxa"/>
            <w:shd w:val="clear" w:color="auto" w:fill="auto"/>
            <w:tcMar>
              <w:top w:w="100" w:type="dxa"/>
              <w:left w:w="100" w:type="dxa"/>
              <w:bottom w:w="100" w:type="dxa"/>
              <w:right w:w="100" w:type="dxa"/>
            </w:tcMar>
          </w:tcPr>
          <w:p w14:paraId="6E2ECA4D" w14:textId="77777777" w:rsidR="009E517E" w:rsidRPr="00401F06" w:rsidRDefault="009E517E" w:rsidP="009D0223">
            <w:pPr>
              <w:widowControl w:val="0"/>
              <w:pBdr>
                <w:top w:val="nil"/>
                <w:left w:val="nil"/>
                <w:bottom w:val="nil"/>
                <w:right w:val="nil"/>
                <w:between w:val="nil"/>
              </w:pBdr>
              <w:rPr>
                <w:rFonts w:cs="Arial"/>
              </w:rPr>
            </w:pPr>
            <w:r w:rsidRPr="00401F06">
              <w:rPr>
                <w:rFonts w:cs="Arial"/>
                <w:color w:val="2E2E2E"/>
              </w:rPr>
              <w:t>An inspiring and engaging ocean where society understands and values the ocean in relation to human wellbeing and sustainable development.</w:t>
            </w:r>
          </w:p>
        </w:tc>
        <w:tc>
          <w:tcPr>
            <w:tcW w:w="6599" w:type="dxa"/>
            <w:shd w:val="clear" w:color="auto" w:fill="auto"/>
            <w:tcMar>
              <w:top w:w="100" w:type="dxa"/>
              <w:left w:w="100" w:type="dxa"/>
              <w:bottom w:w="100" w:type="dxa"/>
              <w:right w:w="100" w:type="dxa"/>
            </w:tcMar>
          </w:tcPr>
          <w:p w14:paraId="1413D8FF"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 xml:space="preserve">Status and trends of ocean literacy activities’ implementation </w:t>
            </w:r>
          </w:p>
          <w:p w14:paraId="58786D33" w14:textId="77777777" w:rsidR="009E517E" w:rsidRPr="00401F06" w:rsidRDefault="009E517E" w:rsidP="009D0223">
            <w:pPr>
              <w:widowControl w:val="0"/>
              <w:pBdr>
                <w:top w:val="nil"/>
                <w:left w:val="nil"/>
                <w:bottom w:val="nil"/>
                <w:right w:val="nil"/>
                <w:between w:val="nil"/>
              </w:pBdr>
              <w:rPr>
                <w:rFonts w:cs="Arial"/>
              </w:rPr>
            </w:pPr>
            <w:r w:rsidRPr="00401F06">
              <w:rPr>
                <w:rFonts w:cs="Arial"/>
              </w:rPr>
              <w:t>Efforts to include indigenous and traditional knowledge in ocean science</w:t>
            </w:r>
          </w:p>
        </w:tc>
      </w:tr>
    </w:tbl>
    <w:p w14:paraId="32213676" w14:textId="77777777" w:rsidR="009E517E" w:rsidRDefault="009E517E" w:rsidP="009E517E">
      <w:pPr>
        <w:widowControl w:val="0"/>
        <w:spacing w:before="180" w:line="360" w:lineRule="auto"/>
        <w:ind w:left="7" w:right="166"/>
        <w:jc w:val="both"/>
        <w:rPr>
          <w:rFonts w:ascii="Times New Roman" w:hAnsi="Times New Roman"/>
        </w:rPr>
      </w:pPr>
      <w:r>
        <w:br w:type="page"/>
      </w:r>
    </w:p>
    <w:p w14:paraId="3F332C2D" w14:textId="4B393954" w:rsidR="009E517E" w:rsidRPr="00851D33" w:rsidRDefault="009E517E" w:rsidP="00851D33">
      <w:pPr>
        <w:pStyle w:val="Heading3"/>
        <w:rPr>
          <w:b w:val="0"/>
        </w:rPr>
      </w:pPr>
      <w:r>
        <w:lastRenderedPageBreak/>
        <w:t xml:space="preserve">ANNEX </w:t>
      </w:r>
      <w:r w:rsidR="00610883">
        <w:t>4</w:t>
      </w:r>
      <w:r w:rsidR="00093964">
        <w:t xml:space="preserve">: </w:t>
      </w:r>
      <w:r w:rsidR="00093964" w:rsidRPr="00670721">
        <w:t>The StOR Template</w:t>
      </w:r>
    </w:p>
    <w:p w14:paraId="5E7F7D34" w14:textId="77777777" w:rsidR="00093964" w:rsidRPr="00851D33" w:rsidRDefault="00093964" w:rsidP="00851D33">
      <w:pPr>
        <w:widowControl w:val="0"/>
        <w:spacing w:before="180" w:line="360" w:lineRule="auto"/>
        <w:ind w:left="7" w:right="166"/>
        <w:jc w:val="both"/>
        <w:rPr>
          <w:b/>
          <w:sz w:val="24"/>
        </w:rPr>
      </w:pPr>
    </w:p>
    <w:p w14:paraId="5C5C43F0" w14:textId="179C33E4" w:rsidR="009E517E" w:rsidRPr="00401F06" w:rsidRDefault="009E517E" w:rsidP="00851D33">
      <w:pPr>
        <w:widowControl w:val="0"/>
        <w:spacing w:line="360" w:lineRule="auto"/>
        <w:ind w:left="6" w:right="164"/>
        <w:jc w:val="both"/>
        <w:rPr>
          <w:rFonts w:cs="Arial"/>
          <w:b/>
          <w:sz w:val="24"/>
        </w:rPr>
      </w:pPr>
      <w:r w:rsidRPr="00401F06">
        <w:rPr>
          <w:rFonts w:cs="Arial"/>
          <w:b/>
          <w:sz w:val="24"/>
        </w:rPr>
        <w:t>Outcome X</w:t>
      </w:r>
    </w:p>
    <w:p w14:paraId="5AA72567" w14:textId="77777777" w:rsidR="009E517E" w:rsidRPr="00401F06" w:rsidRDefault="009E517E" w:rsidP="00851D33">
      <w:pPr>
        <w:widowControl w:val="0"/>
        <w:spacing w:before="180"/>
        <w:ind w:left="7" w:right="166"/>
        <w:jc w:val="both"/>
        <w:rPr>
          <w:rFonts w:cs="Arial"/>
          <w:b/>
          <w:i/>
        </w:rPr>
      </w:pPr>
      <w:r w:rsidRPr="00401F06">
        <w:rPr>
          <w:rFonts w:cs="Arial"/>
          <w:b/>
          <w:i/>
          <w:highlight w:val="lightGray"/>
        </w:rPr>
        <w:t>[Title]</w:t>
      </w:r>
      <w:r w:rsidRPr="00401F06">
        <w:rPr>
          <w:rFonts w:cs="Arial"/>
          <w:b/>
          <w:i/>
        </w:rPr>
        <w:t xml:space="preserve"> </w:t>
      </w:r>
      <w:r w:rsidRPr="00401F06">
        <w:rPr>
          <w:rFonts w:cs="Arial"/>
        </w:rPr>
        <w:t>maximum 80 characters</w:t>
      </w:r>
    </w:p>
    <w:p w14:paraId="5952CABD" w14:textId="77777777" w:rsidR="009E517E" w:rsidRPr="00401F06" w:rsidRDefault="009E517E" w:rsidP="00851D33">
      <w:pPr>
        <w:widowControl w:val="0"/>
        <w:ind w:left="6" w:right="164"/>
        <w:jc w:val="both"/>
        <w:rPr>
          <w:rFonts w:cs="Arial"/>
        </w:rPr>
      </w:pPr>
      <w:r w:rsidRPr="00401F06">
        <w:rPr>
          <w:rFonts w:cs="Arial"/>
        </w:rPr>
        <w:t xml:space="preserve">Authors: </w:t>
      </w:r>
      <w:r w:rsidRPr="00401F06">
        <w:rPr>
          <w:rFonts w:cs="Arial"/>
          <w:highlight w:val="lightGray"/>
        </w:rPr>
        <w:t>[name, first name</w:t>
      </w:r>
      <w:r w:rsidRPr="00401F06">
        <w:rPr>
          <w:rFonts w:cs="Arial"/>
          <w:highlight w:val="lightGray"/>
          <w:vertAlign w:val="superscript"/>
        </w:rPr>
        <w:t>1</w:t>
      </w:r>
      <w:r w:rsidRPr="00401F06">
        <w:rPr>
          <w:rFonts w:cs="Arial"/>
          <w:highlight w:val="lightGray"/>
        </w:rPr>
        <w:t>, name, first name</w:t>
      </w:r>
      <w:r w:rsidRPr="00401F06">
        <w:rPr>
          <w:rFonts w:cs="Arial"/>
          <w:highlight w:val="lightGray"/>
          <w:vertAlign w:val="superscript"/>
        </w:rPr>
        <w:t>2</w:t>
      </w:r>
      <w:r w:rsidRPr="00401F06">
        <w:rPr>
          <w:rFonts w:cs="Arial"/>
          <w:highlight w:val="lightGray"/>
        </w:rPr>
        <w:t>, ….]</w:t>
      </w:r>
      <w:r w:rsidRPr="00401F06">
        <w:rPr>
          <w:rFonts w:cs="Arial"/>
        </w:rPr>
        <w:t xml:space="preserve"> </w:t>
      </w:r>
    </w:p>
    <w:p w14:paraId="5838AB32" w14:textId="77777777" w:rsidR="009E517E" w:rsidRPr="00401F06" w:rsidRDefault="009E517E" w:rsidP="00851D33">
      <w:pPr>
        <w:widowControl w:val="0"/>
        <w:ind w:left="6" w:right="164"/>
        <w:jc w:val="both"/>
        <w:rPr>
          <w:rFonts w:cs="Arial"/>
        </w:rPr>
      </w:pPr>
      <w:r w:rsidRPr="00401F06">
        <w:rPr>
          <w:rFonts w:cs="Arial"/>
          <w:vertAlign w:val="superscript"/>
        </w:rPr>
        <w:t>1</w:t>
      </w:r>
      <w:r w:rsidRPr="00401F06">
        <w:rPr>
          <w:rFonts w:cs="Arial"/>
        </w:rPr>
        <w:t xml:space="preserve"> </w:t>
      </w:r>
      <w:r w:rsidRPr="00401F06">
        <w:rPr>
          <w:rFonts w:cs="Arial"/>
          <w:highlight w:val="lightGray"/>
        </w:rPr>
        <w:t>[Affiliation, Country, email corresponding author]</w:t>
      </w:r>
    </w:p>
    <w:p w14:paraId="110C84A5" w14:textId="77777777" w:rsidR="009E517E" w:rsidRPr="00401F06" w:rsidRDefault="009E517E" w:rsidP="00851D33">
      <w:pPr>
        <w:widowControl w:val="0"/>
        <w:ind w:left="6" w:right="164"/>
        <w:jc w:val="both"/>
        <w:rPr>
          <w:rFonts w:cs="Arial"/>
        </w:rPr>
      </w:pPr>
      <w:r w:rsidRPr="00401F06">
        <w:rPr>
          <w:rFonts w:cs="Arial"/>
          <w:vertAlign w:val="superscript"/>
        </w:rPr>
        <w:t>2</w:t>
      </w:r>
      <w:r w:rsidRPr="00401F06">
        <w:rPr>
          <w:rFonts w:cs="Arial"/>
        </w:rPr>
        <w:t xml:space="preserve"> </w:t>
      </w:r>
      <w:r w:rsidRPr="00401F06">
        <w:rPr>
          <w:rFonts w:cs="Arial"/>
          <w:highlight w:val="lightGray"/>
        </w:rPr>
        <w:t>[Affiliation, country]</w:t>
      </w:r>
    </w:p>
    <w:p w14:paraId="28495B80" w14:textId="77777777" w:rsidR="009E517E" w:rsidRPr="00401F06" w:rsidRDefault="009E517E" w:rsidP="00851D33">
      <w:pPr>
        <w:widowControl w:val="0"/>
        <w:spacing w:before="180"/>
        <w:ind w:left="7" w:right="166"/>
        <w:jc w:val="both"/>
        <w:rPr>
          <w:rFonts w:cs="Arial"/>
        </w:rPr>
      </w:pPr>
      <w:r w:rsidRPr="00401F06">
        <w:rPr>
          <w:rFonts w:cs="Arial"/>
          <w:highlight w:val="lightGray"/>
        </w:rPr>
        <w:t>[Intro text]</w:t>
      </w:r>
    </w:p>
    <w:p w14:paraId="214801C3" w14:textId="77777777" w:rsidR="009E517E" w:rsidRPr="00401F06" w:rsidRDefault="009E517E" w:rsidP="00851D33">
      <w:pPr>
        <w:widowControl w:val="0"/>
        <w:ind w:left="6" w:right="164"/>
        <w:jc w:val="both"/>
        <w:rPr>
          <w:rFonts w:cs="Arial"/>
        </w:rPr>
      </w:pPr>
      <w:r w:rsidRPr="00401F06">
        <w:rPr>
          <w:rFonts w:cs="Arial"/>
        </w:rPr>
        <w:t>150 words maximum</w:t>
      </w:r>
    </w:p>
    <w:p w14:paraId="62785B85" w14:textId="77777777" w:rsidR="009E517E" w:rsidRPr="00401F06" w:rsidRDefault="009E517E" w:rsidP="00851D33">
      <w:pPr>
        <w:widowControl w:val="0"/>
        <w:spacing w:before="180"/>
        <w:ind w:left="7" w:right="166"/>
        <w:jc w:val="both"/>
        <w:rPr>
          <w:rFonts w:cs="Arial"/>
        </w:rPr>
      </w:pPr>
      <w:r w:rsidRPr="00401F06">
        <w:rPr>
          <w:rFonts w:cs="Arial"/>
          <w:highlight w:val="lightGray"/>
        </w:rPr>
        <w:t>[Description of findings, trends, status</w:t>
      </w:r>
      <w:r w:rsidRPr="00401F06">
        <w:rPr>
          <w:rFonts w:cs="Arial"/>
        </w:rPr>
        <w:t>]</w:t>
      </w:r>
    </w:p>
    <w:p w14:paraId="3E5BFAAC" w14:textId="77777777" w:rsidR="009E517E" w:rsidRPr="00401F06" w:rsidRDefault="009E517E" w:rsidP="00851D33">
      <w:pPr>
        <w:widowControl w:val="0"/>
        <w:ind w:left="6" w:right="164"/>
        <w:jc w:val="both"/>
        <w:rPr>
          <w:rFonts w:cs="Arial"/>
        </w:rPr>
      </w:pPr>
      <w:r w:rsidRPr="00401F06">
        <w:rPr>
          <w:rFonts w:cs="Arial"/>
        </w:rPr>
        <w:t>300 words maximum</w:t>
      </w:r>
    </w:p>
    <w:p w14:paraId="69AC6DE7" w14:textId="77777777" w:rsidR="009E517E" w:rsidRPr="00401F06" w:rsidRDefault="009E517E" w:rsidP="00851D33">
      <w:pPr>
        <w:widowControl w:val="0"/>
        <w:spacing w:before="180"/>
        <w:ind w:left="7" w:right="166"/>
        <w:jc w:val="both"/>
        <w:rPr>
          <w:rFonts w:cs="Arial"/>
        </w:rPr>
      </w:pPr>
      <w:r w:rsidRPr="00401F06">
        <w:rPr>
          <w:rFonts w:cs="Arial"/>
          <w:highlight w:val="lightGray"/>
        </w:rPr>
        <w:t>[Conclusion, next steps]</w:t>
      </w:r>
    </w:p>
    <w:p w14:paraId="17011375" w14:textId="77777777" w:rsidR="009E517E" w:rsidRPr="00401F06" w:rsidRDefault="009E517E" w:rsidP="00851D33">
      <w:pPr>
        <w:widowControl w:val="0"/>
        <w:ind w:left="6" w:right="164"/>
        <w:jc w:val="both"/>
        <w:rPr>
          <w:rFonts w:cs="Arial"/>
        </w:rPr>
      </w:pPr>
      <w:r w:rsidRPr="00401F06">
        <w:rPr>
          <w:rFonts w:cs="Arial"/>
        </w:rPr>
        <w:t>150 words maximum</w:t>
      </w:r>
    </w:p>
    <w:p w14:paraId="1F542F7F" w14:textId="77777777" w:rsidR="009E517E" w:rsidRDefault="009E517E" w:rsidP="00851D33">
      <w:pPr>
        <w:widowControl w:val="0"/>
        <w:ind w:left="6" w:right="164"/>
        <w:jc w:val="both"/>
        <w:rPr>
          <w:rFonts w:cs="Arial"/>
        </w:rPr>
      </w:pPr>
    </w:p>
    <w:p w14:paraId="32D6EC65" w14:textId="77777777" w:rsidR="00093964" w:rsidRPr="00401F06" w:rsidRDefault="00093964" w:rsidP="00093964">
      <w:pPr>
        <w:widowControl w:val="0"/>
        <w:ind w:left="6" w:right="164"/>
        <w:jc w:val="both"/>
        <w:rPr>
          <w:rFonts w:cs="Arial"/>
        </w:rPr>
      </w:pPr>
    </w:p>
    <w:p w14:paraId="7BAED341" w14:textId="77777777" w:rsidR="009E517E" w:rsidRPr="00401F06" w:rsidRDefault="009E517E" w:rsidP="00093964">
      <w:pPr>
        <w:widowControl w:val="0"/>
        <w:ind w:left="6" w:right="164"/>
        <w:jc w:val="both"/>
        <w:rPr>
          <w:rFonts w:cs="Arial"/>
        </w:rPr>
      </w:pPr>
      <w:r w:rsidRPr="00401F06">
        <w:rPr>
          <w:rFonts w:cs="Arial"/>
        </w:rPr>
        <w:t xml:space="preserve">Figure </w:t>
      </w:r>
      <w:r w:rsidRPr="00401F06">
        <w:rPr>
          <w:rFonts w:cs="Arial"/>
          <w:highlight w:val="lightGray"/>
        </w:rPr>
        <w:t>[X]</w:t>
      </w:r>
      <w:r w:rsidRPr="00401F06">
        <w:rPr>
          <w:rFonts w:cs="Arial"/>
        </w:rPr>
        <w:t xml:space="preserve">. </w:t>
      </w:r>
      <w:r w:rsidRPr="00401F06">
        <w:rPr>
          <w:rFonts w:cs="Arial"/>
          <w:highlight w:val="lightGray"/>
        </w:rPr>
        <w:t>[caption text]</w:t>
      </w:r>
      <w:r w:rsidRPr="00401F06">
        <w:rPr>
          <w:rFonts w:cs="Arial"/>
        </w:rPr>
        <w:t xml:space="preserve">. </w:t>
      </w:r>
      <w:r w:rsidRPr="00401F06">
        <w:rPr>
          <w:rFonts w:cs="Arial"/>
          <w:i/>
        </w:rPr>
        <w:t>Source:</w:t>
      </w:r>
      <w:r w:rsidRPr="00401F06">
        <w:rPr>
          <w:rFonts w:cs="Arial"/>
        </w:rPr>
        <w:t xml:space="preserve"> </w:t>
      </w:r>
      <w:r w:rsidRPr="00401F06">
        <w:rPr>
          <w:rFonts w:cs="Arial"/>
          <w:highlight w:val="lightGray"/>
        </w:rPr>
        <w:t>[text]</w:t>
      </w:r>
      <w:r w:rsidRPr="00401F06">
        <w:rPr>
          <w:rFonts w:cs="Arial"/>
        </w:rPr>
        <w:t>.</w:t>
      </w:r>
    </w:p>
    <w:p w14:paraId="7CEB66AF" w14:textId="77777777" w:rsidR="009E517E" w:rsidRDefault="009E517E" w:rsidP="00851D33">
      <w:pPr>
        <w:widowControl w:val="0"/>
        <w:ind w:left="6" w:right="164"/>
        <w:jc w:val="both"/>
        <w:rPr>
          <w:rFonts w:cs="Arial"/>
        </w:rPr>
      </w:pPr>
    </w:p>
    <w:p w14:paraId="065A3A59" w14:textId="77777777" w:rsidR="00093964" w:rsidRPr="00401F06" w:rsidRDefault="00093964" w:rsidP="00851D33">
      <w:pPr>
        <w:widowControl w:val="0"/>
        <w:ind w:left="6" w:right="164"/>
        <w:jc w:val="both"/>
        <w:rPr>
          <w:rFonts w:cs="Arial"/>
        </w:rPr>
      </w:pPr>
    </w:p>
    <w:p w14:paraId="6DCF545D" w14:textId="77777777" w:rsidR="009E517E" w:rsidRPr="00401F06" w:rsidRDefault="009E517E" w:rsidP="00851D33">
      <w:pPr>
        <w:widowControl w:val="0"/>
        <w:ind w:left="6" w:right="164"/>
        <w:jc w:val="both"/>
        <w:rPr>
          <w:rFonts w:cs="Arial"/>
          <w:i/>
        </w:rPr>
      </w:pPr>
      <w:r w:rsidRPr="00401F06">
        <w:rPr>
          <w:rFonts w:cs="Arial"/>
          <w:i/>
        </w:rPr>
        <w:t>References</w:t>
      </w:r>
    </w:p>
    <w:p w14:paraId="45E45950" w14:textId="77777777" w:rsidR="009E517E" w:rsidRPr="00401F06" w:rsidRDefault="009E517E" w:rsidP="00851D33">
      <w:pPr>
        <w:widowControl w:val="0"/>
        <w:ind w:left="6" w:right="164"/>
        <w:jc w:val="both"/>
        <w:rPr>
          <w:rFonts w:cs="Arial"/>
        </w:rPr>
      </w:pPr>
      <w:r w:rsidRPr="00401F06">
        <w:rPr>
          <w:rFonts w:cs="Arial"/>
        </w:rPr>
        <w:t xml:space="preserve">examples, authors are encouraged to focus on the main publications and apply the style </w:t>
      </w:r>
      <w:proofErr w:type="gramStart"/>
      <w:r w:rsidRPr="00401F06">
        <w:rPr>
          <w:rFonts w:cs="Arial"/>
        </w:rPr>
        <w:t>below</w:t>
      </w:r>
      <w:proofErr w:type="gramEnd"/>
    </w:p>
    <w:p w14:paraId="644330B2" w14:textId="77777777" w:rsidR="009E517E" w:rsidRPr="00401F06" w:rsidRDefault="009E517E" w:rsidP="00851D33">
      <w:pPr>
        <w:widowControl w:val="0"/>
        <w:ind w:left="6" w:right="164"/>
        <w:jc w:val="both"/>
        <w:rPr>
          <w:rFonts w:cs="Arial"/>
          <w:i/>
        </w:rPr>
      </w:pPr>
    </w:p>
    <w:p w14:paraId="00B00651" w14:textId="77777777" w:rsidR="009E517E" w:rsidRPr="00401F06" w:rsidRDefault="009E517E" w:rsidP="00851D33">
      <w:pPr>
        <w:widowControl w:val="0"/>
        <w:ind w:left="6" w:right="164"/>
        <w:jc w:val="both"/>
        <w:rPr>
          <w:rFonts w:cs="Arial"/>
          <w:highlight w:val="lightGray"/>
        </w:rPr>
      </w:pPr>
      <w:r w:rsidRPr="00401F06">
        <w:rPr>
          <w:rFonts w:cs="Arial"/>
          <w:highlight w:val="lightGray"/>
          <w:lang w:val="da-DK"/>
        </w:rPr>
        <w:t>Friedlingstein, P., O’Sullivan, M., Jones, M. W., Andrew, R. M., et al</w:t>
      </w:r>
      <w:r w:rsidRPr="00401F06">
        <w:rPr>
          <w:rFonts w:cs="Arial"/>
          <w:i/>
          <w:highlight w:val="lightGray"/>
          <w:lang w:val="da-DK"/>
        </w:rPr>
        <w:t>.</w:t>
      </w:r>
      <w:r w:rsidRPr="00401F06">
        <w:rPr>
          <w:rFonts w:cs="Arial"/>
          <w:highlight w:val="lightGray"/>
          <w:lang w:val="da-DK"/>
        </w:rPr>
        <w:t xml:space="preserve"> 2020. </w:t>
      </w:r>
      <w:r w:rsidRPr="00401F06">
        <w:rPr>
          <w:rFonts w:cs="Arial"/>
          <w:highlight w:val="lightGray"/>
        </w:rPr>
        <w:t xml:space="preserve">Global Carbon Budget 2020. </w:t>
      </w:r>
      <w:r w:rsidRPr="00401F06">
        <w:rPr>
          <w:rFonts w:cs="Arial"/>
          <w:i/>
          <w:highlight w:val="lightGray"/>
        </w:rPr>
        <w:t>Earth System Science Data</w:t>
      </w:r>
      <w:r w:rsidRPr="00401F06">
        <w:rPr>
          <w:rFonts w:cs="Arial"/>
          <w:highlight w:val="lightGray"/>
        </w:rPr>
        <w:t>, Vol</w:t>
      </w:r>
      <w:r w:rsidRPr="00401F06">
        <w:rPr>
          <w:rFonts w:cs="Arial"/>
          <w:i/>
          <w:highlight w:val="lightGray"/>
        </w:rPr>
        <w:t>.</w:t>
      </w:r>
      <w:r w:rsidRPr="00401F06">
        <w:rPr>
          <w:rFonts w:cs="Arial"/>
          <w:highlight w:val="lightGray"/>
        </w:rPr>
        <w:t xml:space="preserve"> 12, pp. 3269–3340. </w:t>
      </w:r>
      <w:hyperlink r:id="rId19">
        <w:r w:rsidRPr="00401F06">
          <w:rPr>
            <w:rFonts w:cs="Arial"/>
            <w:color w:val="0000FF"/>
            <w:highlight w:val="lightGray"/>
            <w:u w:val="single"/>
          </w:rPr>
          <w:t>https://doi.org/10.5194/essd-12-3269-2020</w:t>
        </w:r>
      </w:hyperlink>
      <w:r w:rsidRPr="00401F06">
        <w:rPr>
          <w:rFonts w:cs="Arial"/>
          <w:highlight w:val="lightGray"/>
        </w:rPr>
        <w:t xml:space="preserve"> </w:t>
      </w:r>
    </w:p>
    <w:p w14:paraId="7BEF093E" w14:textId="77777777" w:rsidR="009E517E" w:rsidRPr="00401F06" w:rsidRDefault="009E517E" w:rsidP="00851D33">
      <w:pPr>
        <w:widowControl w:val="0"/>
        <w:ind w:left="6" w:right="164"/>
        <w:jc w:val="both"/>
        <w:rPr>
          <w:rFonts w:cs="Arial"/>
          <w:highlight w:val="lightGray"/>
        </w:rPr>
      </w:pPr>
    </w:p>
    <w:p w14:paraId="1C429C18" w14:textId="77777777" w:rsidR="009E517E" w:rsidRPr="00401F06" w:rsidRDefault="009E517E" w:rsidP="00851D33">
      <w:pPr>
        <w:widowControl w:val="0"/>
        <w:ind w:left="6" w:right="164"/>
        <w:jc w:val="both"/>
        <w:rPr>
          <w:rFonts w:cs="Arial"/>
        </w:rPr>
      </w:pPr>
      <w:r w:rsidRPr="00401F06">
        <w:rPr>
          <w:rFonts w:cs="Arial"/>
          <w:highlight w:val="lightGray"/>
        </w:rPr>
        <w:t xml:space="preserve">IPCC. 2019. </w:t>
      </w:r>
      <w:r w:rsidRPr="00401F06">
        <w:rPr>
          <w:rFonts w:cs="Arial"/>
          <w:i/>
          <w:highlight w:val="lightGray"/>
        </w:rPr>
        <w:t>IPCC Special Report on the Ocean and Cryosphere in a Changing Climate</w:t>
      </w:r>
      <w:r w:rsidRPr="00401F06">
        <w:rPr>
          <w:rFonts w:cs="Arial"/>
          <w:highlight w:val="lightGray"/>
        </w:rPr>
        <w:t xml:space="preserve">. (H.-O. </w:t>
      </w:r>
      <w:proofErr w:type="spellStart"/>
      <w:r w:rsidRPr="00401F06">
        <w:rPr>
          <w:rFonts w:cs="Arial"/>
          <w:highlight w:val="lightGray"/>
        </w:rPr>
        <w:t>Pörtner</w:t>
      </w:r>
      <w:proofErr w:type="spellEnd"/>
      <w:r w:rsidRPr="00401F06">
        <w:rPr>
          <w:rFonts w:cs="Arial"/>
          <w:highlight w:val="lightGray"/>
        </w:rPr>
        <w:t>, D. C. Roberts, V. Masson-</w:t>
      </w:r>
      <w:proofErr w:type="spellStart"/>
      <w:r w:rsidRPr="00401F06">
        <w:rPr>
          <w:rFonts w:cs="Arial"/>
          <w:highlight w:val="lightGray"/>
        </w:rPr>
        <w:t>Delmotte</w:t>
      </w:r>
      <w:proofErr w:type="spellEnd"/>
      <w:r w:rsidRPr="00401F06">
        <w:rPr>
          <w:rFonts w:cs="Arial"/>
          <w:highlight w:val="lightGray"/>
        </w:rPr>
        <w:t xml:space="preserve">, P. </w:t>
      </w:r>
      <w:proofErr w:type="spellStart"/>
      <w:r w:rsidRPr="00401F06">
        <w:rPr>
          <w:rFonts w:cs="Arial"/>
          <w:highlight w:val="lightGray"/>
        </w:rPr>
        <w:t>Zhai</w:t>
      </w:r>
      <w:proofErr w:type="spellEnd"/>
      <w:r w:rsidRPr="00401F06">
        <w:rPr>
          <w:rFonts w:cs="Arial"/>
          <w:highlight w:val="lightGray"/>
        </w:rPr>
        <w:t xml:space="preserve">, M. </w:t>
      </w:r>
      <w:proofErr w:type="spellStart"/>
      <w:r w:rsidRPr="00401F06">
        <w:rPr>
          <w:rFonts w:cs="Arial"/>
          <w:highlight w:val="lightGray"/>
        </w:rPr>
        <w:t>Tignor</w:t>
      </w:r>
      <w:proofErr w:type="spellEnd"/>
      <w:r w:rsidRPr="00401F06">
        <w:rPr>
          <w:rFonts w:cs="Arial"/>
          <w:highlight w:val="lightGray"/>
        </w:rPr>
        <w:t xml:space="preserve">, E. </w:t>
      </w:r>
      <w:proofErr w:type="spellStart"/>
      <w:r w:rsidRPr="00401F06">
        <w:rPr>
          <w:rFonts w:cs="Arial"/>
          <w:highlight w:val="lightGray"/>
        </w:rPr>
        <w:t>Poloczanska</w:t>
      </w:r>
      <w:proofErr w:type="spellEnd"/>
      <w:r w:rsidRPr="00401F06">
        <w:rPr>
          <w:rFonts w:cs="Arial"/>
          <w:highlight w:val="lightGray"/>
        </w:rPr>
        <w:t xml:space="preserve">, K. </w:t>
      </w:r>
      <w:proofErr w:type="spellStart"/>
      <w:r w:rsidRPr="00401F06">
        <w:rPr>
          <w:rFonts w:cs="Arial"/>
          <w:highlight w:val="lightGray"/>
        </w:rPr>
        <w:t>Mintenbeck</w:t>
      </w:r>
      <w:proofErr w:type="spellEnd"/>
      <w:r w:rsidRPr="00401F06">
        <w:rPr>
          <w:rFonts w:cs="Arial"/>
          <w:highlight w:val="lightGray"/>
        </w:rPr>
        <w:t xml:space="preserve">, A. </w:t>
      </w:r>
      <w:proofErr w:type="spellStart"/>
      <w:r w:rsidRPr="00401F06">
        <w:rPr>
          <w:rFonts w:cs="Arial"/>
          <w:highlight w:val="lightGray"/>
        </w:rPr>
        <w:t>Alegría</w:t>
      </w:r>
      <w:proofErr w:type="spellEnd"/>
      <w:r w:rsidRPr="00401F06">
        <w:rPr>
          <w:rFonts w:cs="Arial"/>
          <w:highlight w:val="lightGray"/>
        </w:rPr>
        <w:t xml:space="preserve">, M. Nicolai, A. </w:t>
      </w:r>
      <w:proofErr w:type="spellStart"/>
      <w:r w:rsidRPr="00401F06">
        <w:rPr>
          <w:rFonts w:cs="Arial"/>
          <w:highlight w:val="lightGray"/>
        </w:rPr>
        <w:t>Okem</w:t>
      </w:r>
      <w:proofErr w:type="spellEnd"/>
      <w:r w:rsidRPr="00401F06">
        <w:rPr>
          <w:rFonts w:cs="Arial"/>
          <w:highlight w:val="lightGray"/>
        </w:rPr>
        <w:t xml:space="preserve">, J. </w:t>
      </w:r>
      <w:proofErr w:type="spellStart"/>
      <w:r w:rsidRPr="00401F06">
        <w:rPr>
          <w:rFonts w:cs="Arial"/>
          <w:highlight w:val="lightGray"/>
        </w:rPr>
        <w:t>Petzold</w:t>
      </w:r>
      <w:proofErr w:type="spellEnd"/>
      <w:r w:rsidRPr="00401F06">
        <w:rPr>
          <w:rFonts w:cs="Arial"/>
          <w:highlight w:val="lightGray"/>
        </w:rPr>
        <w:t xml:space="preserve">, B. Rama and N. M. </w:t>
      </w:r>
      <w:proofErr w:type="spellStart"/>
      <w:r w:rsidRPr="00401F06">
        <w:rPr>
          <w:rFonts w:cs="Arial"/>
          <w:highlight w:val="lightGray"/>
        </w:rPr>
        <w:t>Weyer</w:t>
      </w:r>
      <w:proofErr w:type="spellEnd"/>
      <w:r w:rsidRPr="00401F06">
        <w:rPr>
          <w:rFonts w:cs="Arial"/>
          <w:highlight w:val="lightGray"/>
        </w:rPr>
        <w:t xml:space="preserve"> (eds.)). In press. </w:t>
      </w:r>
      <w:hyperlink r:id="rId20">
        <w:r w:rsidRPr="00401F06">
          <w:rPr>
            <w:rFonts w:cs="Arial"/>
            <w:color w:val="0000FF"/>
            <w:highlight w:val="lightGray"/>
            <w:u w:val="single"/>
          </w:rPr>
          <w:t>https://www.ipcc.ch/srocc/</w:t>
        </w:r>
      </w:hyperlink>
    </w:p>
    <w:p w14:paraId="426AFA71" w14:textId="77777777" w:rsidR="009E517E" w:rsidRDefault="009E517E" w:rsidP="00851D33">
      <w:pPr>
        <w:widowControl w:val="0"/>
        <w:ind w:left="6" w:right="164"/>
        <w:jc w:val="both"/>
        <w:rPr>
          <w:rFonts w:cs="Arial"/>
        </w:rPr>
      </w:pPr>
    </w:p>
    <w:p w14:paraId="45AF3697" w14:textId="77777777" w:rsidR="00093964" w:rsidRPr="00401F06" w:rsidRDefault="00093964" w:rsidP="00093964">
      <w:pPr>
        <w:widowControl w:val="0"/>
        <w:ind w:left="6" w:right="164"/>
        <w:jc w:val="both"/>
        <w:rPr>
          <w:rFonts w:cs="Arial"/>
        </w:rPr>
      </w:pPr>
    </w:p>
    <w:p w14:paraId="1D16A3F5" w14:textId="77777777" w:rsidR="009E517E" w:rsidRPr="00401F06" w:rsidRDefault="009E517E" w:rsidP="00851D33">
      <w:pPr>
        <w:widowControl w:val="0"/>
        <w:ind w:left="6" w:right="164"/>
        <w:jc w:val="both"/>
        <w:rPr>
          <w:rFonts w:cs="Arial"/>
          <w:i/>
        </w:rPr>
      </w:pPr>
      <w:r w:rsidRPr="00401F06">
        <w:rPr>
          <w:rFonts w:cs="Arial"/>
          <w:i/>
        </w:rPr>
        <w:t xml:space="preserve">Additional resources </w:t>
      </w:r>
    </w:p>
    <w:p w14:paraId="089CBEDB" w14:textId="77777777" w:rsidR="009E517E" w:rsidRPr="00401F06" w:rsidRDefault="009E517E" w:rsidP="00851D33">
      <w:pPr>
        <w:widowControl w:val="0"/>
        <w:ind w:left="6" w:right="164"/>
        <w:jc w:val="both"/>
        <w:rPr>
          <w:rFonts w:cs="Arial"/>
        </w:rPr>
      </w:pPr>
      <w:r w:rsidRPr="00401F06">
        <w:rPr>
          <w:rFonts w:cs="Arial"/>
        </w:rPr>
        <w:t xml:space="preserve">maximum 3, follow the </w:t>
      </w:r>
      <w:proofErr w:type="gramStart"/>
      <w:r w:rsidRPr="00401F06">
        <w:rPr>
          <w:rFonts w:cs="Arial"/>
        </w:rPr>
        <w:t>example</w:t>
      </w:r>
      <w:proofErr w:type="gramEnd"/>
    </w:p>
    <w:p w14:paraId="00528AAA" w14:textId="77777777" w:rsidR="009E517E" w:rsidRPr="00401F06" w:rsidRDefault="009E517E" w:rsidP="00851D33">
      <w:pPr>
        <w:widowControl w:val="0"/>
        <w:ind w:left="6" w:right="164"/>
        <w:jc w:val="both"/>
        <w:rPr>
          <w:rFonts w:cs="Arial"/>
          <w:highlight w:val="lightGray"/>
        </w:rPr>
      </w:pPr>
      <w:r w:rsidRPr="00401F06">
        <w:rPr>
          <w:rFonts w:cs="Arial"/>
          <w:highlight w:val="lightGray"/>
        </w:rPr>
        <w:t xml:space="preserve">IOC SDG 14.3.1 </w:t>
      </w:r>
      <w:proofErr w:type="spellStart"/>
      <w:r w:rsidRPr="00401F06">
        <w:rPr>
          <w:rFonts w:cs="Arial"/>
          <w:highlight w:val="lightGray"/>
        </w:rPr>
        <w:t>protal</w:t>
      </w:r>
      <w:proofErr w:type="spellEnd"/>
      <w:r w:rsidRPr="00401F06">
        <w:rPr>
          <w:rFonts w:cs="Arial"/>
          <w:highlight w:val="lightGray"/>
        </w:rPr>
        <w:t xml:space="preserve"> </w:t>
      </w:r>
      <w:hyperlink r:id="rId21">
        <w:r w:rsidRPr="00401F06">
          <w:rPr>
            <w:rFonts w:cs="Arial"/>
            <w:color w:val="0000FF"/>
            <w:highlight w:val="lightGray"/>
            <w:u w:val="single"/>
          </w:rPr>
          <w:t>http://oa.iode.org</w:t>
        </w:r>
      </w:hyperlink>
      <w:r w:rsidRPr="00401F06">
        <w:rPr>
          <w:rFonts w:cs="Arial"/>
          <w:highlight w:val="lightGray"/>
        </w:rPr>
        <w:t xml:space="preserve">  </w:t>
      </w:r>
    </w:p>
    <w:p w14:paraId="799E4A96" w14:textId="77777777" w:rsidR="009E517E" w:rsidRPr="00401F06" w:rsidRDefault="009E517E" w:rsidP="00851D33">
      <w:pPr>
        <w:widowControl w:val="0"/>
        <w:ind w:left="6" w:right="164"/>
        <w:jc w:val="both"/>
        <w:rPr>
          <w:rFonts w:cs="Arial"/>
          <w:highlight w:val="lightGray"/>
        </w:rPr>
      </w:pPr>
      <w:r w:rsidRPr="00401F06">
        <w:rPr>
          <w:rFonts w:cs="Arial"/>
          <w:highlight w:val="lightGray"/>
        </w:rPr>
        <w:t xml:space="preserve">Global Ocean Acidification Observing Network </w:t>
      </w:r>
      <w:hyperlink r:id="rId22">
        <w:r w:rsidRPr="00401F06">
          <w:rPr>
            <w:rFonts w:cs="Arial"/>
            <w:color w:val="0000FF"/>
            <w:highlight w:val="lightGray"/>
            <w:u w:val="single"/>
          </w:rPr>
          <w:t>http://goa-on.org</w:t>
        </w:r>
      </w:hyperlink>
    </w:p>
    <w:p w14:paraId="48A04A7D" w14:textId="77777777" w:rsidR="009E517E" w:rsidRPr="00401F06" w:rsidRDefault="009E517E" w:rsidP="00851D33">
      <w:pPr>
        <w:widowControl w:val="0"/>
        <w:ind w:left="6" w:right="164"/>
        <w:jc w:val="both"/>
        <w:rPr>
          <w:rFonts w:cs="Arial"/>
        </w:rPr>
      </w:pPr>
      <w:r w:rsidRPr="00401F06">
        <w:rPr>
          <w:rFonts w:cs="Arial"/>
          <w:highlight w:val="lightGray"/>
        </w:rPr>
        <w:t xml:space="preserve">Ocean Acidification Research for Sustainability Ocean Decade Programme </w:t>
      </w:r>
      <w:hyperlink r:id="rId23">
        <w:r w:rsidRPr="00401F06">
          <w:rPr>
            <w:rFonts w:cs="Arial"/>
            <w:color w:val="0000FF"/>
            <w:highlight w:val="lightGray"/>
            <w:u w:val="single"/>
          </w:rPr>
          <w:t>http://goa-on.org/oars/overview.php</w:t>
        </w:r>
      </w:hyperlink>
      <w:r w:rsidRPr="00401F06">
        <w:rPr>
          <w:rFonts w:cs="Arial"/>
        </w:rPr>
        <w:t xml:space="preserve"> </w:t>
      </w:r>
    </w:p>
    <w:p w14:paraId="48567826" w14:textId="77777777" w:rsidR="009E517E" w:rsidRDefault="009E517E" w:rsidP="00851D33">
      <w:pPr>
        <w:widowControl w:val="0"/>
        <w:ind w:left="6" w:right="164"/>
        <w:jc w:val="both"/>
        <w:rPr>
          <w:rFonts w:ascii="Times New Roman" w:hAnsi="Times New Roman"/>
        </w:rPr>
      </w:pPr>
    </w:p>
    <w:p w14:paraId="14011415" w14:textId="77777777" w:rsidR="00093964" w:rsidRDefault="00093964" w:rsidP="00093964">
      <w:pPr>
        <w:widowControl w:val="0"/>
        <w:ind w:left="6" w:right="164"/>
        <w:jc w:val="both"/>
        <w:rPr>
          <w:rFonts w:ascii="Times New Roman" w:hAnsi="Times New Roman"/>
        </w:rPr>
      </w:pPr>
    </w:p>
    <w:p w14:paraId="384C225F" w14:textId="3AEF57B1" w:rsidR="009E517E" w:rsidRPr="00401F06" w:rsidRDefault="009E517E" w:rsidP="00851D33">
      <w:pPr>
        <w:widowControl w:val="0"/>
        <w:ind w:left="6" w:right="164"/>
        <w:jc w:val="both"/>
        <w:rPr>
          <w:rFonts w:cs="Arial"/>
          <w:b/>
        </w:rPr>
      </w:pPr>
      <w:r w:rsidRPr="00401F06">
        <w:rPr>
          <w:rFonts w:cs="Arial"/>
          <w:b/>
        </w:rPr>
        <w:t xml:space="preserve">Additional guidance: </w:t>
      </w:r>
    </w:p>
    <w:p w14:paraId="5BCF64CF" w14:textId="77777777" w:rsidR="009E517E" w:rsidRPr="00401F06" w:rsidRDefault="009E517E" w:rsidP="00851D33">
      <w:pPr>
        <w:widowControl w:val="0"/>
        <w:numPr>
          <w:ilvl w:val="0"/>
          <w:numId w:val="14"/>
        </w:numPr>
        <w:tabs>
          <w:tab w:val="clear" w:pos="567"/>
        </w:tabs>
        <w:snapToGrid/>
        <w:ind w:right="164"/>
        <w:jc w:val="both"/>
        <w:rPr>
          <w:rFonts w:cs="Arial"/>
        </w:rPr>
      </w:pPr>
      <w:r w:rsidRPr="00401F06">
        <w:rPr>
          <w:rFonts w:cs="Arial"/>
        </w:rPr>
        <w:t>Number of figures maximum 2</w:t>
      </w:r>
    </w:p>
    <w:p w14:paraId="3E5B5249" w14:textId="77777777" w:rsidR="009E517E" w:rsidRPr="00401F06" w:rsidRDefault="009E517E" w:rsidP="00851D33">
      <w:pPr>
        <w:widowControl w:val="0"/>
        <w:numPr>
          <w:ilvl w:val="0"/>
          <w:numId w:val="14"/>
        </w:numPr>
        <w:tabs>
          <w:tab w:val="clear" w:pos="567"/>
        </w:tabs>
        <w:snapToGrid/>
        <w:ind w:right="164"/>
        <w:jc w:val="both"/>
        <w:rPr>
          <w:rFonts w:cs="Arial"/>
        </w:rPr>
      </w:pPr>
      <w:r w:rsidRPr="00401F06">
        <w:rPr>
          <w:rFonts w:cs="Arial"/>
        </w:rPr>
        <w:t xml:space="preserve">Footnotes should be </w:t>
      </w:r>
      <w:proofErr w:type="gramStart"/>
      <w:r w:rsidRPr="00401F06">
        <w:rPr>
          <w:rFonts w:cs="Arial"/>
        </w:rPr>
        <w:t>avoided</w:t>
      </w:r>
      <w:proofErr w:type="gramEnd"/>
    </w:p>
    <w:p w14:paraId="50708260" w14:textId="77777777" w:rsidR="009E517E" w:rsidRDefault="009E517E" w:rsidP="009E517E">
      <w:pPr>
        <w:widowControl w:val="0"/>
        <w:pBdr>
          <w:top w:val="nil"/>
          <w:left w:val="nil"/>
          <w:bottom w:val="nil"/>
          <w:right w:val="nil"/>
          <w:between w:val="nil"/>
        </w:pBdr>
        <w:spacing w:before="180"/>
        <w:ind w:left="2648"/>
        <w:rPr>
          <w:rFonts w:ascii="Times New Roman" w:hAnsi="Times New Roman"/>
          <w:b/>
          <w:sz w:val="28"/>
          <w:szCs w:val="28"/>
        </w:rPr>
      </w:pPr>
    </w:p>
    <w:p w14:paraId="469715E4" w14:textId="77777777" w:rsidR="00093964" w:rsidRDefault="00093964">
      <w:pPr>
        <w:tabs>
          <w:tab w:val="clear" w:pos="567"/>
        </w:tabs>
        <w:snapToGrid/>
        <w:rPr>
          <w:rFonts w:eastAsia="Arial Unicode MS"/>
          <w:b/>
          <w:bCs/>
          <w:szCs w:val="22"/>
        </w:rPr>
      </w:pPr>
      <w:r>
        <w:br w:type="page"/>
      </w:r>
    </w:p>
    <w:p w14:paraId="07467E23" w14:textId="10933EE1" w:rsidR="009E517E" w:rsidRDefault="009E517E" w:rsidP="005D1E90">
      <w:pPr>
        <w:pStyle w:val="Heading3"/>
      </w:pPr>
      <w:r>
        <w:lastRenderedPageBreak/>
        <w:t xml:space="preserve">Annex </w:t>
      </w:r>
      <w:r w:rsidR="00610883">
        <w:t>5</w:t>
      </w:r>
      <w:r w:rsidR="00093964">
        <w:t>:</w:t>
      </w:r>
      <w:r>
        <w:t xml:space="preserve"> Timeline for the preparation of the StOR to be published in </w:t>
      </w:r>
      <w:proofErr w:type="gramStart"/>
      <w:r>
        <w:t>2024</w:t>
      </w:r>
      <w:proofErr w:type="gramEnd"/>
    </w:p>
    <w:p w14:paraId="3661AF5A" w14:textId="77777777" w:rsidR="009E517E" w:rsidRDefault="009E517E" w:rsidP="009E517E">
      <w:pPr>
        <w:widowControl w:val="0"/>
        <w:pBdr>
          <w:top w:val="nil"/>
          <w:left w:val="nil"/>
          <w:bottom w:val="nil"/>
          <w:right w:val="nil"/>
          <w:between w:val="nil"/>
        </w:pBdr>
        <w:spacing w:line="360" w:lineRule="auto"/>
        <w:ind w:left="369"/>
        <w:rPr>
          <w:rFonts w:ascii="Calibri" w:eastAsia="Calibri" w:hAnsi="Calibri" w:cs="Calibri"/>
          <w:b/>
          <w:color w:val="000000"/>
          <w:sz w:val="24"/>
        </w:rPr>
      </w:pPr>
    </w:p>
    <w:tbl>
      <w:tblPr>
        <w:tblW w:w="962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6662"/>
      </w:tblGrid>
      <w:tr w:rsidR="009E517E" w:rsidRPr="00093964" w14:paraId="553224A1" w14:textId="77777777" w:rsidTr="00851D33">
        <w:trPr>
          <w:trHeight w:val="515"/>
        </w:trPr>
        <w:tc>
          <w:tcPr>
            <w:tcW w:w="2965" w:type="dxa"/>
            <w:vAlign w:val="center"/>
          </w:tcPr>
          <w:p w14:paraId="5C90D0BB" w14:textId="77777777" w:rsidR="009E517E" w:rsidRPr="00851D33" w:rsidRDefault="009E517E" w:rsidP="009D0223">
            <w:pPr>
              <w:widowControl w:val="0"/>
              <w:spacing w:line="360" w:lineRule="auto"/>
              <w:ind w:right="164"/>
              <w:jc w:val="center"/>
              <w:rPr>
                <w:b/>
                <w:color w:val="000000"/>
              </w:rPr>
            </w:pPr>
            <w:r w:rsidRPr="00851D33">
              <w:rPr>
                <w:b/>
                <w:color w:val="000000"/>
              </w:rPr>
              <w:t>Timeline</w:t>
            </w:r>
          </w:p>
        </w:tc>
        <w:tc>
          <w:tcPr>
            <w:tcW w:w="6662" w:type="dxa"/>
            <w:vAlign w:val="center"/>
          </w:tcPr>
          <w:p w14:paraId="3AA48940" w14:textId="77777777" w:rsidR="009E517E" w:rsidRPr="00851D33" w:rsidRDefault="009E517E" w:rsidP="009D0223">
            <w:pPr>
              <w:widowControl w:val="0"/>
              <w:spacing w:line="360" w:lineRule="auto"/>
              <w:ind w:right="164"/>
              <w:jc w:val="center"/>
              <w:rPr>
                <w:b/>
                <w:color w:val="000000"/>
              </w:rPr>
            </w:pPr>
            <w:r w:rsidRPr="00851D33">
              <w:rPr>
                <w:b/>
                <w:color w:val="000000"/>
              </w:rPr>
              <w:t>Actions</w:t>
            </w:r>
          </w:p>
        </w:tc>
      </w:tr>
      <w:tr w:rsidR="009E517E" w:rsidRPr="00401F06" w14:paraId="62EA42CE" w14:textId="77777777" w:rsidTr="00851D33">
        <w:trPr>
          <w:trHeight w:val="719"/>
        </w:trPr>
        <w:tc>
          <w:tcPr>
            <w:tcW w:w="2965" w:type="dxa"/>
            <w:vAlign w:val="center"/>
          </w:tcPr>
          <w:p w14:paraId="7FB42028" w14:textId="77777777" w:rsidR="009E517E" w:rsidRPr="00401F06" w:rsidRDefault="009E517E" w:rsidP="009D0223">
            <w:pPr>
              <w:widowControl w:val="0"/>
              <w:spacing w:line="360" w:lineRule="auto"/>
              <w:ind w:right="164"/>
              <w:jc w:val="center"/>
              <w:rPr>
                <w:rFonts w:cs="Arial"/>
                <w:color w:val="000000"/>
                <w:sz w:val="20"/>
                <w:szCs w:val="20"/>
              </w:rPr>
            </w:pPr>
            <w:r w:rsidRPr="00401F06">
              <w:rPr>
                <w:rFonts w:cs="Arial"/>
                <w:color w:val="000000"/>
                <w:sz w:val="20"/>
                <w:szCs w:val="20"/>
              </w:rPr>
              <w:t>July – September 2022</w:t>
            </w:r>
          </w:p>
        </w:tc>
        <w:tc>
          <w:tcPr>
            <w:tcW w:w="6662" w:type="dxa"/>
            <w:vAlign w:val="center"/>
          </w:tcPr>
          <w:p w14:paraId="3C429F69" w14:textId="77777777" w:rsidR="009E517E" w:rsidRPr="00401F06" w:rsidRDefault="009E517E" w:rsidP="00851D33">
            <w:pPr>
              <w:widowControl w:val="0"/>
              <w:numPr>
                <w:ilvl w:val="0"/>
                <w:numId w:val="12"/>
              </w:numPr>
              <w:pBdr>
                <w:top w:val="nil"/>
                <w:left w:val="nil"/>
                <w:bottom w:val="nil"/>
                <w:right w:val="nil"/>
                <w:between w:val="nil"/>
              </w:pBdr>
              <w:tabs>
                <w:tab w:val="clear" w:pos="567"/>
              </w:tabs>
              <w:snapToGrid/>
              <w:spacing w:line="360" w:lineRule="auto"/>
              <w:ind w:right="164"/>
              <w:jc w:val="both"/>
              <w:rPr>
                <w:rFonts w:cs="Arial"/>
                <w:color w:val="000000"/>
                <w:sz w:val="20"/>
                <w:szCs w:val="20"/>
              </w:rPr>
            </w:pPr>
            <w:r w:rsidRPr="00851D33">
              <w:rPr>
                <w:sz w:val="20"/>
              </w:rPr>
              <w:t>Member</w:t>
            </w:r>
            <w:r w:rsidRPr="00401F06">
              <w:rPr>
                <w:rFonts w:cs="Arial"/>
                <w:color w:val="000000"/>
                <w:sz w:val="20"/>
                <w:szCs w:val="20"/>
              </w:rPr>
              <w:t xml:space="preserve"> States consultation on the StOR </w:t>
            </w:r>
          </w:p>
        </w:tc>
      </w:tr>
      <w:tr w:rsidR="009E517E" w:rsidRPr="00401F06" w14:paraId="31BD1C81" w14:textId="77777777" w:rsidTr="00851D33">
        <w:trPr>
          <w:trHeight w:val="719"/>
        </w:trPr>
        <w:tc>
          <w:tcPr>
            <w:tcW w:w="2965" w:type="dxa"/>
            <w:vAlign w:val="center"/>
          </w:tcPr>
          <w:p w14:paraId="5011B380" w14:textId="77777777" w:rsidR="009E517E" w:rsidRPr="00401F06" w:rsidRDefault="009E517E" w:rsidP="009D0223">
            <w:pPr>
              <w:widowControl w:val="0"/>
              <w:spacing w:line="360" w:lineRule="auto"/>
              <w:ind w:right="164"/>
              <w:jc w:val="center"/>
              <w:rPr>
                <w:rFonts w:cs="Arial"/>
                <w:color w:val="000000"/>
                <w:sz w:val="20"/>
                <w:szCs w:val="20"/>
              </w:rPr>
            </w:pPr>
            <w:r w:rsidRPr="00401F06">
              <w:rPr>
                <w:rFonts w:cs="Arial"/>
                <w:color w:val="000000"/>
                <w:sz w:val="20"/>
                <w:szCs w:val="20"/>
              </w:rPr>
              <w:t>October – December 2022</w:t>
            </w:r>
          </w:p>
        </w:tc>
        <w:tc>
          <w:tcPr>
            <w:tcW w:w="6662" w:type="dxa"/>
            <w:vAlign w:val="center"/>
          </w:tcPr>
          <w:p w14:paraId="52200719" w14:textId="77777777" w:rsidR="009E517E" w:rsidRPr="00401F06" w:rsidRDefault="009E517E" w:rsidP="00851D33">
            <w:pPr>
              <w:widowControl w:val="0"/>
              <w:numPr>
                <w:ilvl w:val="0"/>
                <w:numId w:val="12"/>
              </w:numPr>
              <w:pBdr>
                <w:top w:val="nil"/>
                <w:left w:val="nil"/>
                <w:bottom w:val="nil"/>
                <w:right w:val="nil"/>
                <w:between w:val="nil"/>
              </w:pBdr>
              <w:tabs>
                <w:tab w:val="clear" w:pos="567"/>
              </w:tabs>
              <w:snapToGrid/>
              <w:spacing w:line="360" w:lineRule="auto"/>
              <w:ind w:right="164"/>
              <w:jc w:val="both"/>
              <w:rPr>
                <w:rFonts w:cs="Arial"/>
                <w:color w:val="000000"/>
                <w:sz w:val="20"/>
                <w:szCs w:val="20"/>
              </w:rPr>
            </w:pPr>
            <w:r w:rsidRPr="00401F06">
              <w:rPr>
                <w:rFonts w:cs="Arial"/>
                <w:color w:val="000000"/>
                <w:sz w:val="20"/>
                <w:szCs w:val="20"/>
              </w:rPr>
              <w:t xml:space="preserve">Analysis of </w:t>
            </w:r>
            <w:r w:rsidRPr="00851D33">
              <w:rPr>
                <w:sz w:val="20"/>
              </w:rPr>
              <w:t>the</w:t>
            </w:r>
            <w:r w:rsidRPr="00401F06">
              <w:rPr>
                <w:rFonts w:cs="Arial"/>
                <w:color w:val="000000"/>
                <w:sz w:val="20"/>
                <w:szCs w:val="20"/>
              </w:rPr>
              <w:t xml:space="preserve"> consultation result</w:t>
            </w:r>
          </w:p>
        </w:tc>
      </w:tr>
      <w:tr w:rsidR="009E517E" w:rsidRPr="00401F06" w14:paraId="77F04B22" w14:textId="77777777" w:rsidTr="00851D33">
        <w:trPr>
          <w:trHeight w:val="719"/>
        </w:trPr>
        <w:tc>
          <w:tcPr>
            <w:tcW w:w="2965" w:type="dxa"/>
            <w:vAlign w:val="center"/>
          </w:tcPr>
          <w:p w14:paraId="3EFB5336" w14:textId="77777777" w:rsidR="009E517E" w:rsidRPr="00401F06" w:rsidRDefault="009E517E" w:rsidP="009D0223">
            <w:pPr>
              <w:widowControl w:val="0"/>
              <w:spacing w:line="360" w:lineRule="auto"/>
              <w:ind w:right="164"/>
              <w:jc w:val="center"/>
              <w:rPr>
                <w:rFonts w:cs="Arial"/>
                <w:color w:val="000000"/>
                <w:sz w:val="20"/>
                <w:szCs w:val="20"/>
              </w:rPr>
            </w:pPr>
            <w:r w:rsidRPr="00401F06">
              <w:rPr>
                <w:rFonts w:cs="Arial"/>
                <w:sz w:val="20"/>
                <w:szCs w:val="20"/>
              </w:rPr>
              <w:t>January 2023</w:t>
            </w:r>
          </w:p>
        </w:tc>
        <w:tc>
          <w:tcPr>
            <w:tcW w:w="6662" w:type="dxa"/>
            <w:vAlign w:val="center"/>
          </w:tcPr>
          <w:p w14:paraId="4AB409FF" w14:textId="77777777" w:rsidR="009E517E" w:rsidRPr="00401F06" w:rsidRDefault="009E517E" w:rsidP="00851D33">
            <w:pPr>
              <w:widowControl w:val="0"/>
              <w:numPr>
                <w:ilvl w:val="0"/>
                <w:numId w:val="12"/>
              </w:numPr>
              <w:pBdr>
                <w:top w:val="nil"/>
                <w:left w:val="nil"/>
                <w:bottom w:val="nil"/>
                <w:right w:val="nil"/>
                <w:between w:val="nil"/>
              </w:pBdr>
              <w:tabs>
                <w:tab w:val="clear" w:pos="567"/>
              </w:tabs>
              <w:snapToGrid/>
              <w:spacing w:line="360" w:lineRule="auto"/>
              <w:ind w:right="164"/>
              <w:jc w:val="both"/>
              <w:rPr>
                <w:rFonts w:cs="Arial"/>
                <w:color w:val="000000"/>
                <w:sz w:val="20"/>
                <w:szCs w:val="20"/>
              </w:rPr>
            </w:pPr>
            <w:r w:rsidRPr="00401F06">
              <w:rPr>
                <w:rFonts w:cs="Arial"/>
                <w:sz w:val="20"/>
                <w:szCs w:val="20"/>
              </w:rPr>
              <w:t>Presentation of revised concept note for the StOR – second edition to IOC officers</w:t>
            </w:r>
          </w:p>
        </w:tc>
      </w:tr>
      <w:tr w:rsidR="009E517E" w:rsidRPr="00401F06" w14:paraId="5510FB00" w14:textId="77777777" w:rsidTr="00851D33">
        <w:trPr>
          <w:trHeight w:val="719"/>
        </w:trPr>
        <w:tc>
          <w:tcPr>
            <w:tcW w:w="2965" w:type="dxa"/>
            <w:vAlign w:val="center"/>
          </w:tcPr>
          <w:p w14:paraId="587F4CD7" w14:textId="7BDFFC9A" w:rsidR="009E517E" w:rsidRPr="00401F06" w:rsidRDefault="009E517E" w:rsidP="009D0223">
            <w:pPr>
              <w:widowControl w:val="0"/>
              <w:spacing w:line="360" w:lineRule="auto"/>
              <w:ind w:right="164"/>
              <w:jc w:val="center"/>
              <w:rPr>
                <w:rFonts w:cs="Arial"/>
                <w:color w:val="000000"/>
                <w:sz w:val="20"/>
                <w:szCs w:val="20"/>
              </w:rPr>
            </w:pPr>
            <w:r w:rsidRPr="00401F06">
              <w:rPr>
                <w:rFonts w:cs="Arial"/>
                <w:sz w:val="20"/>
                <w:szCs w:val="20"/>
              </w:rPr>
              <w:t xml:space="preserve">January </w:t>
            </w:r>
            <w:r w:rsidR="00093964">
              <w:rPr>
                <w:rFonts w:cs="Arial"/>
                <w:sz w:val="20"/>
                <w:szCs w:val="20"/>
              </w:rPr>
              <w:t>–</w:t>
            </w:r>
            <w:r w:rsidRPr="00401F06">
              <w:rPr>
                <w:rFonts w:cs="Arial"/>
                <w:sz w:val="20"/>
                <w:szCs w:val="20"/>
              </w:rPr>
              <w:t xml:space="preserve"> March 2023</w:t>
            </w:r>
          </w:p>
        </w:tc>
        <w:tc>
          <w:tcPr>
            <w:tcW w:w="6662" w:type="dxa"/>
            <w:vAlign w:val="center"/>
          </w:tcPr>
          <w:p w14:paraId="26B3A6C1" w14:textId="77777777" w:rsidR="009E517E" w:rsidRPr="00401F06" w:rsidRDefault="009E517E" w:rsidP="00851D33">
            <w:pPr>
              <w:widowControl w:val="0"/>
              <w:numPr>
                <w:ilvl w:val="0"/>
                <w:numId w:val="12"/>
              </w:numPr>
              <w:tabs>
                <w:tab w:val="clear" w:pos="567"/>
              </w:tabs>
              <w:snapToGrid/>
              <w:spacing w:line="360" w:lineRule="auto"/>
              <w:ind w:right="164"/>
              <w:jc w:val="both"/>
              <w:rPr>
                <w:rFonts w:cs="Arial"/>
                <w:sz w:val="20"/>
                <w:szCs w:val="20"/>
              </w:rPr>
            </w:pPr>
            <w:r w:rsidRPr="00401F06">
              <w:rPr>
                <w:rFonts w:cs="Arial"/>
                <w:sz w:val="20"/>
                <w:szCs w:val="20"/>
              </w:rPr>
              <w:t>Formation of StOR Advisory Board</w:t>
            </w:r>
          </w:p>
        </w:tc>
      </w:tr>
      <w:tr w:rsidR="009E517E" w:rsidRPr="00401F06" w14:paraId="7FA875FE" w14:textId="77777777" w:rsidTr="00851D33">
        <w:trPr>
          <w:trHeight w:val="719"/>
        </w:trPr>
        <w:tc>
          <w:tcPr>
            <w:tcW w:w="2965" w:type="dxa"/>
            <w:vAlign w:val="center"/>
          </w:tcPr>
          <w:p w14:paraId="077A1462" w14:textId="5AEA88FE" w:rsidR="009E517E" w:rsidRPr="00401F06" w:rsidRDefault="009E517E" w:rsidP="009D0223">
            <w:pPr>
              <w:widowControl w:val="0"/>
              <w:spacing w:line="360" w:lineRule="auto"/>
              <w:ind w:right="164"/>
              <w:jc w:val="center"/>
              <w:rPr>
                <w:rFonts w:cs="Arial"/>
                <w:color w:val="000000"/>
                <w:sz w:val="20"/>
                <w:szCs w:val="20"/>
              </w:rPr>
            </w:pPr>
            <w:r w:rsidRPr="00401F06">
              <w:rPr>
                <w:rFonts w:cs="Arial"/>
                <w:sz w:val="20"/>
                <w:szCs w:val="20"/>
              </w:rPr>
              <w:t xml:space="preserve">April </w:t>
            </w:r>
            <w:r w:rsidR="00093964">
              <w:rPr>
                <w:rFonts w:cs="Arial"/>
                <w:sz w:val="20"/>
                <w:szCs w:val="20"/>
              </w:rPr>
              <w:t>–</w:t>
            </w:r>
            <w:r w:rsidRPr="00401F06">
              <w:rPr>
                <w:rFonts w:cs="Arial"/>
                <w:sz w:val="20"/>
                <w:szCs w:val="20"/>
              </w:rPr>
              <w:t xml:space="preserve"> June 2023</w:t>
            </w:r>
          </w:p>
        </w:tc>
        <w:tc>
          <w:tcPr>
            <w:tcW w:w="6662" w:type="dxa"/>
            <w:vAlign w:val="center"/>
          </w:tcPr>
          <w:p w14:paraId="716C9DDC" w14:textId="77777777" w:rsidR="009E517E" w:rsidRPr="00401F06" w:rsidRDefault="009E517E" w:rsidP="009E517E">
            <w:pPr>
              <w:widowControl w:val="0"/>
              <w:numPr>
                <w:ilvl w:val="0"/>
                <w:numId w:val="12"/>
              </w:numPr>
              <w:pBdr>
                <w:top w:val="nil"/>
                <w:left w:val="nil"/>
                <w:bottom w:val="nil"/>
                <w:right w:val="nil"/>
                <w:between w:val="nil"/>
              </w:pBdr>
              <w:tabs>
                <w:tab w:val="clear" w:pos="567"/>
              </w:tabs>
              <w:snapToGrid/>
              <w:spacing w:line="360" w:lineRule="auto"/>
              <w:ind w:right="164"/>
              <w:jc w:val="both"/>
              <w:rPr>
                <w:rFonts w:cs="Arial"/>
                <w:color w:val="000000"/>
                <w:sz w:val="20"/>
                <w:szCs w:val="20"/>
              </w:rPr>
            </w:pPr>
            <w:r w:rsidRPr="00401F06">
              <w:rPr>
                <w:rFonts w:cs="Arial"/>
                <w:sz w:val="20"/>
                <w:szCs w:val="20"/>
              </w:rPr>
              <w:t>Consultations of the StOR Advisory Board, definitions of storyline topics</w:t>
            </w:r>
          </w:p>
          <w:p w14:paraId="6EF0EBD8" w14:textId="77777777" w:rsidR="009E517E" w:rsidRPr="00401F06" w:rsidRDefault="009E517E" w:rsidP="009E517E">
            <w:pPr>
              <w:widowControl w:val="0"/>
              <w:numPr>
                <w:ilvl w:val="0"/>
                <w:numId w:val="12"/>
              </w:numPr>
              <w:tabs>
                <w:tab w:val="clear" w:pos="567"/>
              </w:tabs>
              <w:snapToGrid/>
              <w:spacing w:line="360" w:lineRule="auto"/>
              <w:ind w:right="164"/>
              <w:jc w:val="both"/>
              <w:rPr>
                <w:rFonts w:cs="Arial"/>
                <w:sz w:val="20"/>
                <w:szCs w:val="20"/>
              </w:rPr>
            </w:pPr>
            <w:r w:rsidRPr="00401F06">
              <w:rPr>
                <w:rFonts w:cs="Arial"/>
                <w:sz w:val="20"/>
                <w:szCs w:val="20"/>
              </w:rPr>
              <w:t>Drafting initial structure and topics of the report in consultation with the StOR Advisory Board</w:t>
            </w:r>
          </w:p>
          <w:p w14:paraId="2B949F1A" w14:textId="77777777" w:rsidR="009E517E" w:rsidRPr="00401F06" w:rsidRDefault="009E517E" w:rsidP="009E517E">
            <w:pPr>
              <w:widowControl w:val="0"/>
              <w:numPr>
                <w:ilvl w:val="0"/>
                <w:numId w:val="12"/>
              </w:numPr>
              <w:pBdr>
                <w:top w:val="nil"/>
                <w:left w:val="nil"/>
                <w:bottom w:val="nil"/>
                <w:right w:val="nil"/>
                <w:between w:val="nil"/>
              </w:pBdr>
              <w:tabs>
                <w:tab w:val="clear" w:pos="567"/>
              </w:tabs>
              <w:snapToGrid/>
              <w:spacing w:line="360" w:lineRule="auto"/>
              <w:ind w:right="164"/>
              <w:jc w:val="both"/>
              <w:rPr>
                <w:rFonts w:cs="Arial"/>
                <w:color w:val="000000"/>
                <w:sz w:val="20"/>
                <w:szCs w:val="20"/>
              </w:rPr>
            </w:pPr>
            <w:r w:rsidRPr="00401F06">
              <w:rPr>
                <w:rFonts w:cs="Arial"/>
                <w:color w:val="000000"/>
                <w:sz w:val="20"/>
                <w:szCs w:val="20"/>
              </w:rPr>
              <w:t xml:space="preserve">Inviting inputs from UN agencies and experts </w:t>
            </w:r>
          </w:p>
        </w:tc>
      </w:tr>
      <w:tr w:rsidR="009E517E" w:rsidRPr="00401F06" w14:paraId="2B8E2D97" w14:textId="77777777" w:rsidTr="00851D33">
        <w:trPr>
          <w:trHeight w:val="719"/>
        </w:trPr>
        <w:tc>
          <w:tcPr>
            <w:tcW w:w="2965" w:type="dxa"/>
            <w:vAlign w:val="center"/>
          </w:tcPr>
          <w:p w14:paraId="7CC39166" w14:textId="77777777" w:rsidR="009E517E" w:rsidRPr="00401F06" w:rsidRDefault="009E517E" w:rsidP="009D0223">
            <w:pPr>
              <w:widowControl w:val="0"/>
              <w:spacing w:line="360" w:lineRule="auto"/>
              <w:ind w:right="164"/>
              <w:jc w:val="center"/>
              <w:rPr>
                <w:rFonts w:cs="Arial"/>
                <w:color w:val="000000"/>
                <w:sz w:val="20"/>
                <w:szCs w:val="20"/>
              </w:rPr>
            </w:pPr>
            <w:r w:rsidRPr="00401F06">
              <w:rPr>
                <w:rFonts w:cs="Arial"/>
                <w:color w:val="000000"/>
                <w:sz w:val="20"/>
                <w:szCs w:val="20"/>
              </w:rPr>
              <w:t>June 2023</w:t>
            </w:r>
          </w:p>
        </w:tc>
        <w:tc>
          <w:tcPr>
            <w:tcW w:w="6662" w:type="dxa"/>
            <w:vAlign w:val="center"/>
          </w:tcPr>
          <w:p w14:paraId="75ADE745" w14:textId="77777777" w:rsidR="009E517E" w:rsidRPr="00401F06" w:rsidRDefault="009E517E" w:rsidP="009E517E">
            <w:pPr>
              <w:widowControl w:val="0"/>
              <w:numPr>
                <w:ilvl w:val="0"/>
                <w:numId w:val="12"/>
              </w:numPr>
              <w:pBdr>
                <w:top w:val="nil"/>
                <w:left w:val="nil"/>
                <w:bottom w:val="nil"/>
                <w:right w:val="nil"/>
                <w:between w:val="nil"/>
              </w:pBdr>
              <w:tabs>
                <w:tab w:val="clear" w:pos="567"/>
              </w:tabs>
              <w:snapToGrid/>
              <w:spacing w:line="360" w:lineRule="auto"/>
              <w:ind w:right="164"/>
              <w:jc w:val="both"/>
              <w:rPr>
                <w:rFonts w:cs="Arial"/>
                <w:color w:val="000000"/>
                <w:sz w:val="20"/>
                <w:szCs w:val="20"/>
              </w:rPr>
            </w:pPr>
            <w:r w:rsidRPr="00401F06">
              <w:rPr>
                <w:rFonts w:cs="Arial"/>
                <w:color w:val="000000"/>
                <w:sz w:val="20"/>
                <w:szCs w:val="20"/>
              </w:rPr>
              <w:t>Presentation of the revised concept note of future StOR editions at the 32nd session of the IOC Assembly</w:t>
            </w:r>
          </w:p>
        </w:tc>
      </w:tr>
      <w:tr w:rsidR="009E517E" w:rsidRPr="00401F06" w14:paraId="0E9960E1" w14:textId="77777777" w:rsidTr="00851D33">
        <w:trPr>
          <w:trHeight w:val="719"/>
        </w:trPr>
        <w:tc>
          <w:tcPr>
            <w:tcW w:w="2965" w:type="dxa"/>
            <w:vAlign w:val="center"/>
          </w:tcPr>
          <w:p w14:paraId="0877C683" w14:textId="77777777" w:rsidR="009E517E" w:rsidRPr="00401F06" w:rsidRDefault="009E517E" w:rsidP="009D0223">
            <w:pPr>
              <w:widowControl w:val="0"/>
              <w:spacing w:line="360" w:lineRule="auto"/>
              <w:ind w:right="164"/>
              <w:jc w:val="center"/>
              <w:rPr>
                <w:rFonts w:cs="Arial"/>
                <w:color w:val="000000"/>
                <w:sz w:val="20"/>
                <w:szCs w:val="20"/>
              </w:rPr>
            </w:pPr>
            <w:r w:rsidRPr="00401F06">
              <w:rPr>
                <w:rFonts w:cs="Arial"/>
                <w:color w:val="000000"/>
                <w:sz w:val="20"/>
                <w:szCs w:val="20"/>
              </w:rPr>
              <w:t>September 2023</w:t>
            </w:r>
          </w:p>
        </w:tc>
        <w:tc>
          <w:tcPr>
            <w:tcW w:w="6662" w:type="dxa"/>
            <w:vAlign w:val="center"/>
          </w:tcPr>
          <w:p w14:paraId="76073C18" w14:textId="72966B96" w:rsidR="009E517E" w:rsidRPr="00401F06" w:rsidRDefault="009E517E" w:rsidP="009E517E">
            <w:pPr>
              <w:widowControl w:val="0"/>
              <w:numPr>
                <w:ilvl w:val="0"/>
                <w:numId w:val="12"/>
              </w:numPr>
              <w:pBdr>
                <w:top w:val="nil"/>
                <w:left w:val="nil"/>
                <w:bottom w:val="nil"/>
                <w:right w:val="nil"/>
                <w:between w:val="nil"/>
              </w:pBdr>
              <w:tabs>
                <w:tab w:val="clear" w:pos="567"/>
              </w:tabs>
              <w:snapToGrid/>
              <w:spacing w:line="360" w:lineRule="auto"/>
              <w:ind w:right="164"/>
              <w:jc w:val="both"/>
              <w:rPr>
                <w:rFonts w:cs="Arial"/>
                <w:color w:val="000000"/>
                <w:sz w:val="20"/>
                <w:szCs w:val="20"/>
              </w:rPr>
            </w:pPr>
            <w:r w:rsidRPr="00401F06">
              <w:rPr>
                <w:rFonts w:cs="Arial"/>
                <w:sz w:val="20"/>
                <w:szCs w:val="20"/>
              </w:rPr>
              <w:t>Deadline to receive contributions by UN agencies and expert working groups towards the second edition of the</w:t>
            </w:r>
            <w:r w:rsidRPr="00851D33">
              <w:rPr>
                <w:color w:val="000000"/>
                <w:sz w:val="20"/>
              </w:rPr>
              <w:t xml:space="preserve"> </w:t>
            </w:r>
            <w:r w:rsidRPr="00401F06">
              <w:rPr>
                <w:rFonts w:cs="Arial"/>
                <w:color w:val="000000"/>
                <w:sz w:val="20"/>
                <w:szCs w:val="20"/>
              </w:rPr>
              <w:t xml:space="preserve">StOR </w:t>
            </w:r>
          </w:p>
        </w:tc>
      </w:tr>
      <w:tr w:rsidR="009E517E" w:rsidRPr="00401F06" w14:paraId="70B61326" w14:textId="77777777" w:rsidTr="00851D33">
        <w:trPr>
          <w:trHeight w:val="719"/>
        </w:trPr>
        <w:tc>
          <w:tcPr>
            <w:tcW w:w="2965" w:type="dxa"/>
            <w:vAlign w:val="center"/>
          </w:tcPr>
          <w:p w14:paraId="2D264A77" w14:textId="77777777" w:rsidR="009E517E" w:rsidRPr="00401F06" w:rsidRDefault="009E517E" w:rsidP="009D0223">
            <w:pPr>
              <w:widowControl w:val="0"/>
              <w:spacing w:line="360" w:lineRule="auto"/>
              <w:ind w:right="164"/>
              <w:jc w:val="center"/>
              <w:rPr>
                <w:rFonts w:cs="Arial"/>
                <w:color w:val="000000"/>
                <w:sz w:val="20"/>
                <w:szCs w:val="20"/>
              </w:rPr>
            </w:pPr>
            <w:r w:rsidRPr="00401F06">
              <w:rPr>
                <w:rFonts w:cs="Arial"/>
                <w:sz w:val="20"/>
                <w:szCs w:val="20"/>
              </w:rPr>
              <w:t>October</w:t>
            </w:r>
            <w:r w:rsidRPr="00401F06">
              <w:rPr>
                <w:rFonts w:cs="Arial"/>
                <w:color w:val="000000"/>
                <w:sz w:val="20"/>
                <w:szCs w:val="20"/>
              </w:rPr>
              <w:t xml:space="preserve"> – November 2023</w:t>
            </w:r>
          </w:p>
        </w:tc>
        <w:tc>
          <w:tcPr>
            <w:tcW w:w="6662" w:type="dxa"/>
            <w:vAlign w:val="center"/>
          </w:tcPr>
          <w:p w14:paraId="31038FF2" w14:textId="77777777" w:rsidR="009E517E" w:rsidRPr="00401F06" w:rsidRDefault="009E517E" w:rsidP="009E517E">
            <w:pPr>
              <w:widowControl w:val="0"/>
              <w:numPr>
                <w:ilvl w:val="0"/>
                <w:numId w:val="12"/>
              </w:numPr>
              <w:pBdr>
                <w:top w:val="nil"/>
                <w:left w:val="nil"/>
                <w:bottom w:val="nil"/>
                <w:right w:val="nil"/>
                <w:between w:val="nil"/>
              </w:pBdr>
              <w:tabs>
                <w:tab w:val="clear" w:pos="567"/>
              </w:tabs>
              <w:snapToGrid/>
              <w:spacing w:line="360" w:lineRule="auto"/>
              <w:ind w:right="164"/>
              <w:jc w:val="both"/>
              <w:rPr>
                <w:rFonts w:cs="Arial"/>
                <w:color w:val="000000"/>
                <w:sz w:val="20"/>
                <w:szCs w:val="20"/>
              </w:rPr>
            </w:pPr>
            <w:r w:rsidRPr="00401F06">
              <w:rPr>
                <w:rFonts w:cs="Arial"/>
                <w:sz w:val="20"/>
                <w:szCs w:val="20"/>
              </w:rPr>
              <w:t>Expert review</w:t>
            </w:r>
          </w:p>
        </w:tc>
      </w:tr>
      <w:tr w:rsidR="009E517E" w:rsidRPr="00401F06" w14:paraId="26FD62DB" w14:textId="77777777" w:rsidTr="00851D33">
        <w:trPr>
          <w:trHeight w:val="719"/>
        </w:trPr>
        <w:tc>
          <w:tcPr>
            <w:tcW w:w="2965" w:type="dxa"/>
            <w:vAlign w:val="center"/>
          </w:tcPr>
          <w:p w14:paraId="140989A6" w14:textId="0FAA483D" w:rsidR="009E517E" w:rsidRPr="00401F06" w:rsidRDefault="009E517E" w:rsidP="009D0223">
            <w:pPr>
              <w:widowControl w:val="0"/>
              <w:spacing w:line="360" w:lineRule="auto"/>
              <w:ind w:right="164"/>
              <w:jc w:val="center"/>
              <w:rPr>
                <w:rFonts w:cs="Arial"/>
                <w:color w:val="000000"/>
                <w:sz w:val="20"/>
                <w:szCs w:val="20"/>
              </w:rPr>
            </w:pPr>
            <w:r w:rsidRPr="00401F06">
              <w:rPr>
                <w:rFonts w:cs="Arial"/>
                <w:sz w:val="20"/>
                <w:szCs w:val="20"/>
              </w:rPr>
              <w:t xml:space="preserve">November </w:t>
            </w:r>
            <w:r w:rsidR="00093964">
              <w:rPr>
                <w:rFonts w:cs="Arial"/>
                <w:sz w:val="20"/>
                <w:szCs w:val="20"/>
              </w:rPr>
              <w:t>–</w:t>
            </w:r>
            <w:r w:rsidRPr="00401F06">
              <w:rPr>
                <w:rFonts w:cs="Arial"/>
                <w:sz w:val="20"/>
                <w:szCs w:val="20"/>
              </w:rPr>
              <w:t xml:space="preserve"> December</w:t>
            </w:r>
            <w:r w:rsidRPr="00401F06">
              <w:rPr>
                <w:rFonts w:cs="Arial"/>
                <w:color w:val="000000"/>
                <w:sz w:val="20"/>
                <w:szCs w:val="20"/>
              </w:rPr>
              <w:t xml:space="preserve"> 2023</w:t>
            </w:r>
          </w:p>
        </w:tc>
        <w:tc>
          <w:tcPr>
            <w:tcW w:w="6662" w:type="dxa"/>
            <w:vAlign w:val="center"/>
          </w:tcPr>
          <w:p w14:paraId="4CF26E0F" w14:textId="77777777" w:rsidR="009E517E" w:rsidRPr="00401F06" w:rsidRDefault="009E517E" w:rsidP="009E517E">
            <w:pPr>
              <w:widowControl w:val="0"/>
              <w:numPr>
                <w:ilvl w:val="0"/>
                <w:numId w:val="12"/>
              </w:numPr>
              <w:pBdr>
                <w:top w:val="nil"/>
                <w:left w:val="nil"/>
                <w:bottom w:val="nil"/>
                <w:right w:val="nil"/>
                <w:between w:val="nil"/>
              </w:pBdr>
              <w:tabs>
                <w:tab w:val="clear" w:pos="567"/>
              </w:tabs>
              <w:snapToGrid/>
              <w:spacing w:line="360" w:lineRule="auto"/>
              <w:ind w:right="164"/>
              <w:jc w:val="both"/>
              <w:rPr>
                <w:rFonts w:cs="Arial"/>
                <w:color w:val="000000"/>
                <w:sz w:val="20"/>
                <w:szCs w:val="20"/>
              </w:rPr>
            </w:pPr>
            <w:r w:rsidRPr="00401F06">
              <w:rPr>
                <w:rFonts w:cs="Arial"/>
                <w:sz w:val="20"/>
                <w:szCs w:val="20"/>
              </w:rPr>
              <w:t>Incorporation of comments by authors</w:t>
            </w:r>
          </w:p>
          <w:p w14:paraId="0B751D9A" w14:textId="77777777" w:rsidR="009E517E" w:rsidRPr="00401F06" w:rsidRDefault="009E517E" w:rsidP="009E517E">
            <w:pPr>
              <w:widowControl w:val="0"/>
              <w:numPr>
                <w:ilvl w:val="0"/>
                <w:numId w:val="12"/>
              </w:numPr>
              <w:pBdr>
                <w:top w:val="nil"/>
                <w:left w:val="nil"/>
                <w:bottom w:val="nil"/>
                <w:right w:val="nil"/>
                <w:between w:val="nil"/>
              </w:pBdr>
              <w:tabs>
                <w:tab w:val="clear" w:pos="567"/>
              </w:tabs>
              <w:snapToGrid/>
              <w:spacing w:line="360" w:lineRule="auto"/>
              <w:ind w:right="164"/>
              <w:jc w:val="both"/>
              <w:rPr>
                <w:rFonts w:cs="Arial"/>
                <w:color w:val="000000"/>
                <w:sz w:val="20"/>
                <w:szCs w:val="20"/>
              </w:rPr>
            </w:pPr>
            <w:r w:rsidRPr="00401F06">
              <w:rPr>
                <w:rFonts w:cs="Arial"/>
                <w:sz w:val="20"/>
                <w:szCs w:val="20"/>
              </w:rPr>
              <w:t>Drafting of Executive Summary</w:t>
            </w:r>
          </w:p>
        </w:tc>
      </w:tr>
      <w:tr w:rsidR="009E517E" w:rsidRPr="00401F06" w14:paraId="044D3F98" w14:textId="77777777" w:rsidTr="00851D33">
        <w:trPr>
          <w:trHeight w:val="719"/>
        </w:trPr>
        <w:tc>
          <w:tcPr>
            <w:tcW w:w="2965" w:type="dxa"/>
            <w:vAlign w:val="center"/>
          </w:tcPr>
          <w:p w14:paraId="61C63117" w14:textId="77777777" w:rsidR="009E517E" w:rsidRPr="00401F06" w:rsidRDefault="009E517E" w:rsidP="009D0223">
            <w:pPr>
              <w:widowControl w:val="0"/>
              <w:spacing w:line="360" w:lineRule="auto"/>
              <w:ind w:right="164"/>
              <w:jc w:val="center"/>
              <w:rPr>
                <w:rFonts w:cs="Arial"/>
                <w:sz w:val="20"/>
                <w:szCs w:val="20"/>
              </w:rPr>
            </w:pPr>
            <w:r w:rsidRPr="00401F06">
              <w:rPr>
                <w:rFonts w:cs="Arial"/>
                <w:sz w:val="20"/>
                <w:szCs w:val="20"/>
              </w:rPr>
              <w:t>January 2024</w:t>
            </w:r>
          </w:p>
        </w:tc>
        <w:tc>
          <w:tcPr>
            <w:tcW w:w="6662" w:type="dxa"/>
            <w:vAlign w:val="center"/>
          </w:tcPr>
          <w:p w14:paraId="0B562EC7" w14:textId="77777777" w:rsidR="009E517E" w:rsidRPr="00401F06" w:rsidRDefault="009E517E" w:rsidP="009E517E">
            <w:pPr>
              <w:widowControl w:val="0"/>
              <w:numPr>
                <w:ilvl w:val="0"/>
                <w:numId w:val="10"/>
              </w:numPr>
              <w:pBdr>
                <w:top w:val="nil"/>
                <w:left w:val="nil"/>
                <w:bottom w:val="nil"/>
                <w:right w:val="nil"/>
                <w:between w:val="nil"/>
              </w:pBdr>
              <w:tabs>
                <w:tab w:val="clear" w:pos="567"/>
              </w:tabs>
              <w:snapToGrid/>
              <w:spacing w:line="360" w:lineRule="auto"/>
              <w:ind w:right="164"/>
              <w:jc w:val="both"/>
              <w:rPr>
                <w:rFonts w:cs="Arial"/>
                <w:sz w:val="20"/>
                <w:szCs w:val="20"/>
              </w:rPr>
            </w:pPr>
            <w:r w:rsidRPr="00401F06">
              <w:rPr>
                <w:rFonts w:cs="Arial"/>
                <w:sz w:val="20"/>
                <w:szCs w:val="20"/>
              </w:rPr>
              <w:t>Layout and translation</w:t>
            </w:r>
          </w:p>
        </w:tc>
      </w:tr>
      <w:tr w:rsidR="009E517E" w:rsidRPr="00401F06" w14:paraId="69F448C9" w14:textId="77777777" w:rsidTr="00851D33">
        <w:trPr>
          <w:trHeight w:val="719"/>
        </w:trPr>
        <w:tc>
          <w:tcPr>
            <w:tcW w:w="2965" w:type="dxa"/>
            <w:vAlign w:val="center"/>
          </w:tcPr>
          <w:p w14:paraId="228D5FA5" w14:textId="12A2119F" w:rsidR="009E517E" w:rsidRPr="00401F06" w:rsidRDefault="009E517E" w:rsidP="009D0223">
            <w:pPr>
              <w:widowControl w:val="0"/>
              <w:spacing w:line="360" w:lineRule="auto"/>
              <w:ind w:right="164"/>
              <w:jc w:val="center"/>
              <w:rPr>
                <w:rFonts w:cs="Arial"/>
                <w:sz w:val="20"/>
                <w:szCs w:val="20"/>
              </w:rPr>
            </w:pPr>
            <w:r w:rsidRPr="00401F06">
              <w:rPr>
                <w:rFonts w:cs="Arial"/>
                <w:sz w:val="20"/>
                <w:szCs w:val="20"/>
              </w:rPr>
              <w:t>10</w:t>
            </w:r>
            <w:r w:rsidR="00093964">
              <w:rPr>
                <w:rFonts w:cs="Arial"/>
                <w:sz w:val="20"/>
                <w:szCs w:val="20"/>
              </w:rPr>
              <w:t>–</w:t>
            </w:r>
            <w:r w:rsidRPr="00401F06">
              <w:rPr>
                <w:rFonts w:cs="Arial"/>
                <w:sz w:val="20"/>
                <w:szCs w:val="20"/>
              </w:rPr>
              <w:t>12 April 2024</w:t>
            </w:r>
          </w:p>
        </w:tc>
        <w:tc>
          <w:tcPr>
            <w:tcW w:w="6662" w:type="dxa"/>
            <w:vAlign w:val="center"/>
          </w:tcPr>
          <w:p w14:paraId="249B03FA" w14:textId="77777777" w:rsidR="009E517E" w:rsidRPr="00401F06" w:rsidRDefault="009E517E" w:rsidP="009E517E">
            <w:pPr>
              <w:widowControl w:val="0"/>
              <w:numPr>
                <w:ilvl w:val="0"/>
                <w:numId w:val="13"/>
              </w:numPr>
              <w:pBdr>
                <w:top w:val="nil"/>
                <w:left w:val="nil"/>
                <w:bottom w:val="nil"/>
                <w:right w:val="nil"/>
                <w:between w:val="nil"/>
              </w:pBdr>
              <w:tabs>
                <w:tab w:val="clear" w:pos="567"/>
              </w:tabs>
              <w:snapToGrid/>
              <w:spacing w:line="360" w:lineRule="auto"/>
              <w:ind w:right="164"/>
              <w:jc w:val="both"/>
              <w:rPr>
                <w:rFonts w:cs="Arial"/>
                <w:sz w:val="20"/>
                <w:szCs w:val="20"/>
              </w:rPr>
            </w:pPr>
            <w:r w:rsidRPr="00401F06">
              <w:rPr>
                <w:rFonts w:cs="Arial"/>
                <w:sz w:val="20"/>
                <w:szCs w:val="20"/>
              </w:rPr>
              <w:t>Publication of the StOR – second edition (Launch at the Second International Ocean Decade Conference, Barcelona, Spain)</w:t>
            </w:r>
          </w:p>
        </w:tc>
      </w:tr>
    </w:tbl>
    <w:p w14:paraId="5B994559" w14:textId="77777777" w:rsidR="009E517E" w:rsidRDefault="009E517E" w:rsidP="009E517E">
      <w:pPr>
        <w:widowControl w:val="0"/>
        <w:pBdr>
          <w:top w:val="nil"/>
          <w:left w:val="nil"/>
          <w:bottom w:val="nil"/>
          <w:right w:val="nil"/>
          <w:between w:val="nil"/>
        </w:pBdr>
        <w:spacing w:before="180" w:line="360" w:lineRule="auto"/>
        <w:ind w:left="7" w:right="166"/>
        <w:jc w:val="both"/>
        <w:rPr>
          <w:rFonts w:ascii="Calibri" w:eastAsia="Calibri" w:hAnsi="Calibri" w:cs="Calibri"/>
          <w:color w:val="000000"/>
        </w:rPr>
      </w:pPr>
    </w:p>
    <w:p w14:paraId="22064A9D" w14:textId="77777777" w:rsidR="009E517E" w:rsidRDefault="009E517E" w:rsidP="00310D61">
      <w:pPr>
        <w:pStyle w:val="b"/>
        <w:tabs>
          <w:tab w:val="clear" w:pos="1134"/>
        </w:tabs>
        <w:ind w:left="567"/>
      </w:pPr>
    </w:p>
    <w:sectPr w:rsidR="009E517E" w:rsidSect="003F7186">
      <w:headerReference w:type="even" r:id="rId24"/>
      <w:headerReference w:type="default" r:id="rId25"/>
      <w:headerReference w:type="first" r:id="rId26"/>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48BA" w14:textId="77777777" w:rsidR="00A61A11" w:rsidRDefault="00A61A11">
      <w:r>
        <w:separator/>
      </w:r>
    </w:p>
  </w:endnote>
  <w:endnote w:type="continuationSeparator" w:id="0">
    <w:p w14:paraId="7591AA1C" w14:textId="77777777" w:rsidR="00A61A11" w:rsidRDefault="00A61A11">
      <w:r>
        <w:continuationSeparator/>
      </w:r>
    </w:p>
  </w:endnote>
  <w:endnote w:type="continuationNotice" w:id="1">
    <w:p w14:paraId="2D8FD9A8" w14:textId="77777777" w:rsidR="00A61A11" w:rsidRDefault="00A61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AD02" w14:textId="77777777" w:rsidR="001875D7" w:rsidRDefault="00187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AEE4" w14:textId="77777777" w:rsidR="001875D7" w:rsidRDefault="00187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2455" w14:textId="77777777" w:rsidR="001875D7" w:rsidRDefault="00187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7F92" w14:textId="77777777" w:rsidR="00A61A11" w:rsidRDefault="00A61A11">
      <w:r>
        <w:separator/>
      </w:r>
    </w:p>
  </w:footnote>
  <w:footnote w:type="continuationSeparator" w:id="0">
    <w:p w14:paraId="65FB18E0" w14:textId="77777777" w:rsidR="00A61A11" w:rsidRDefault="00A61A11">
      <w:r>
        <w:continuationSeparator/>
      </w:r>
    </w:p>
  </w:footnote>
  <w:footnote w:type="continuationNotice" w:id="1">
    <w:p w14:paraId="3BC2AEDB" w14:textId="77777777" w:rsidR="00A61A11" w:rsidRDefault="00A61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1D56"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55F45597"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B3BC"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44B6DBFC"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36221E3A"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F0B8" w14:textId="46430F79" w:rsidR="00B8392A" w:rsidRPr="007C710A" w:rsidRDefault="00B8392A" w:rsidP="00B8392A">
    <w:pPr>
      <w:pStyle w:val="Marge"/>
      <w:tabs>
        <w:tab w:val="left" w:pos="6521"/>
        <w:tab w:val="left" w:pos="7560"/>
      </w:tabs>
      <w:spacing w:after="0"/>
      <w:rPr>
        <w:rFonts w:cs="Arial"/>
        <w:b/>
        <w:szCs w:val="22"/>
      </w:rPr>
    </w:pPr>
    <w:r w:rsidRPr="007C710A">
      <w:rPr>
        <w:rFonts w:cs="Arial"/>
        <w:szCs w:val="22"/>
      </w:rPr>
      <w:t>Restricted Distribution</w:t>
    </w:r>
    <w:r w:rsidRPr="007C710A">
      <w:rPr>
        <w:rFonts w:cs="Arial"/>
        <w:szCs w:val="22"/>
      </w:rPr>
      <w:tab/>
    </w:r>
    <w:r w:rsidR="00A27B7B" w:rsidRPr="00A27B7B">
      <w:rPr>
        <w:rFonts w:cs="Arial"/>
        <w:b/>
        <w:sz w:val="36"/>
        <w:szCs w:val="36"/>
      </w:rPr>
      <w:t>IOC-32/4.</w:t>
    </w:r>
    <w:proofErr w:type="gramStart"/>
    <w:r w:rsidR="00A27B7B" w:rsidRPr="00A27B7B">
      <w:rPr>
        <w:rFonts w:cs="Arial"/>
        <w:b/>
        <w:sz w:val="36"/>
        <w:szCs w:val="36"/>
      </w:rPr>
      <w:t>2.Doc</w:t>
    </w:r>
    <w:proofErr w:type="gramEnd"/>
    <w:r w:rsidR="00A27B7B" w:rsidRPr="00A27B7B">
      <w:rPr>
        <w:rFonts w:cs="Arial"/>
        <w:b/>
        <w:sz w:val="36"/>
        <w:szCs w:val="36"/>
      </w:rPr>
      <w:t>(1)</w:t>
    </w:r>
  </w:p>
  <w:p w14:paraId="785DB40F" w14:textId="2026A805" w:rsidR="00B8392A" w:rsidRPr="007C710A" w:rsidRDefault="00B8392A" w:rsidP="00B8392A">
    <w:pPr>
      <w:tabs>
        <w:tab w:val="clear" w:pos="567"/>
        <w:tab w:val="left" w:pos="6521"/>
        <w:tab w:val="left" w:pos="7560"/>
      </w:tabs>
      <w:jc w:val="both"/>
      <w:rPr>
        <w:rFonts w:cs="Arial"/>
        <w:szCs w:val="22"/>
      </w:rPr>
    </w:pPr>
    <w:r>
      <w:rPr>
        <w:noProof/>
        <w:lang w:val="en-US"/>
      </w:rPr>
      <w:drawing>
        <wp:anchor distT="0" distB="0" distL="114300" distR="114300" simplePos="0" relativeHeight="251659264" behindDoc="0" locked="0" layoutInCell="1" allowOverlap="1" wp14:anchorId="72E3A906" wp14:editId="01186641">
          <wp:simplePos x="0" y="0"/>
          <wp:positionH relativeFrom="column">
            <wp:posOffset>-138218</wp:posOffset>
          </wp:positionH>
          <wp:positionV relativeFrom="paragraph">
            <wp:posOffset>71967</wp:posOffset>
          </wp:positionV>
          <wp:extent cx="1578610" cy="1047115"/>
          <wp:effectExtent l="0" t="0" r="2540" b="635"/>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2"/>
      </w:rPr>
      <w:tab/>
    </w:r>
    <w:r w:rsidRPr="007C710A">
      <w:rPr>
        <w:rFonts w:cs="Arial"/>
        <w:szCs w:val="22"/>
      </w:rPr>
      <w:t xml:space="preserve">Paris, </w:t>
    </w:r>
    <w:r w:rsidR="00A27B7B">
      <w:rPr>
        <w:rFonts w:cs="Arial"/>
        <w:szCs w:val="22"/>
      </w:rPr>
      <w:t>5 May</w:t>
    </w:r>
    <w:r>
      <w:rPr>
        <w:rFonts w:cs="Arial"/>
        <w:szCs w:val="22"/>
      </w:rPr>
      <w:t xml:space="preserve"> 2023</w:t>
    </w:r>
  </w:p>
  <w:p w14:paraId="3DD18EE6" w14:textId="77777777" w:rsidR="00B8392A" w:rsidRPr="007C710A" w:rsidRDefault="00B8392A" w:rsidP="00B8392A">
    <w:pPr>
      <w:tabs>
        <w:tab w:val="clear" w:pos="567"/>
        <w:tab w:val="left" w:pos="6521"/>
        <w:tab w:val="left" w:pos="7560"/>
      </w:tabs>
      <w:jc w:val="both"/>
      <w:rPr>
        <w:rFonts w:cs="Arial"/>
        <w:szCs w:val="22"/>
      </w:rPr>
    </w:pPr>
    <w:r w:rsidRPr="007C710A">
      <w:rPr>
        <w:rFonts w:cs="Arial"/>
        <w:b/>
        <w:szCs w:val="22"/>
      </w:rPr>
      <w:tab/>
    </w:r>
    <w:r w:rsidRPr="007C710A">
      <w:rPr>
        <w:rFonts w:cs="Arial"/>
        <w:szCs w:val="22"/>
      </w:rPr>
      <w:t>Original: English</w:t>
    </w:r>
  </w:p>
  <w:p w14:paraId="2B63D351" w14:textId="77777777" w:rsidR="00B8392A" w:rsidRPr="005E544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2FAE8206"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54BEF17A"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3C42B23B"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65BC6443"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075F4E96"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6E5687B6"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08A14C4E"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w:t>
    </w:r>
    <w:proofErr w:type="gramStart"/>
    <w:r w:rsidRPr="00423BDE">
      <w:rPr>
        <w:rFonts w:cs="Arial"/>
        <w:bCs/>
        <w:szCs w:val="22"/>
      </w:rPr>
      <w:t>of</w:t>
    </w:r>
    <w:proofErr w:type="gramEnd"/>
    <w:r w:rsidRPr="00423BDE">
      <w:rPr>
        <w:rFonts w:cs="Arial"/>
        <w:bCs/>
        <w:szCs w:val="22"/>
      </w:rPr>
      <w:t xml:space="preserve"> UNESCO)</w:t>
    </w:r>
  </w:p>
  <w:p w14:paraId="2EF8F121" w14:textId="77777777" w:rsidR="00B8392A" w:rsidRPr="00423BD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1F473996"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 xml:space="preserve">y-second </w:t>
    </w:r>
    <w:r w:rsidRPr="009F24D8">
      <w:rPr>
        <w:rFonts w:cs="Arial"/>
        <w:b/>
      </w:rPr>
      <w:t>Session of the Assembly</w:t>
    </w:r>
  </w:p>
  <w:p w14:paraId="0A78E49F"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 xml:space="preserve">21–30 </w:t>
    </w:r>
    <w:r w:rsidRPr="009F24D8">
      <w:rPr>
        <w:rFonts w:cs="Arial"/>
      </w:rPr>
      <w:t>June 20</w:t>
    </w:r>
    <w:r>
      <w:rPr>
        <w:rFonts w:cs="Arial"/>
      </w:rPr>
      <w:t>23</w:t>
    </w:r>
  </w:p>
  <w:p w14:paraId="5AE752EB" w14:textId="77777777" w:rsidR="00B8392A" w:rsidRPr="00423BDE"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7764F32F" w14:textId="77777777" w:rsidR="00B8392A" w:rsidRPr="00423BDE" w:rsidRDefault="00B8392A" w:rsidP="00B8392A">
    <w:pPr>
      <w:jc w:val="center"/>
      <w:rPr>
        <w:rFonts w:cs="Arial"/>
        <w:szCs w:val="22"/>
      </w:rPr>
    </w:pPr>
  </w:p>
  <w:p w14:paraId="76D24EE7" w14:textId="77777777" w:rsidR="00B8392A" w:rsidRDefault="00B8392A" w:rsidP="00B8392A">
    <w:pPr>
      <w:jc w:val="center"/>
      <w:rPr>
        <w:rFonts w:cs="Arial"/>
        <w:szCs w:val="22"/>
      </w:rPr>
    </w:pPr>
  </w:p>
  <w:p w14:paraId="7D29E56E" w14:textId="77777777" w:rsidR="00B8392A" w:rsidRDefault="00B8392A" w:rsidP="00B8392A">
    <w:pPr>
      <w:jc w:val="center"/>
      <w:rPr>
        <w:rFonts w:cs="Arial"/>
        <w:szCs w:val="22"/>
      </w:rPr>
    </w:pPr>
  </w:p>
  <w:p w14:paraId="4B53B45B" w14:textId="77777777" w:rsidR="00B8392A" w:rsidRDefault="00B8392A" w:rsidP="00B8392A">
    <w:pPr>
      <w:jc w:val="center"/>
      <w:rPr>
        <w:rFonts w:cs="Arial"/>
        <w:szCs w:val="22"/>
      </w:rPr>
    </w:pPr>
  </w:p>
  <w:p w14:paraId="653AE996" w14:textId="77777777" w:rsidR="00B8392A" w:rsidRPr="005E544C" w:rsidRDefault="00B8392A" w:rsidP="00B8392A">
    <w:pPr>
      <w:jc w:val="center"/>
      <w:rPr>
        <w:rFonts w:cs="Arial"/>
        <w:szCs w:val="22"/>
      </w:rPr>
    </w:pPr>
  </w:p>
  <w:p w14:paraId="20201A3A" w14:textId="060878E6" w:rsidR="00B8392A" w:rsidRPr="00851D33" w:rsidRDefault="00B8392A" w:rsidP="00B8392A">
    <w:pPr>
      <w:pStyle w:val="Heading7"/>
      <w:tabs>
        <w:tab w:val="clear" w:pos="567"/>
        <w:tab w:val="right" w:pos="9540"/>
      </w:tabs>
      <w:rPr>
        <w:rFonts w:asciiTheme="minorBidi" w:hAnsiTheme="minorBidi"/>
      </w:rPr>
    </w:pPr>
    <w:r w:rsidRPr="00851D33">
      <w:rPr>
        <w:rFonts w:asciiTheme="minorBidi" w:hAnsiTheme="minorBidi"/>
        <w:sz w:val="24"/>
      </w:rPr>
      <w:t xml:space="preserve">Item </w:t>
    </w:r>
    <w:r w:rsidRPr="00851D33">
      <w:rPr>
        <w:rFonts w:asciiTheme="minorBidi" w:hAnsiTheme="minorBidi"/>
        <w:b/>
        <w:sz w:val="24"/>
      </w:rPr>
      <w:t>4.2</w:t>
    </w:r>
    <w:r w:rsidRPr="00851D33">
      <w:rPr>
        <w:rFonts w:asciiTheme="minorBidi" w:hAnsiTheme="minorBidi"/>
        <w:sz w:val="24"/>
      </w:rPr>
      <w:t xml:space="preserve"> of the Provisional Agenda</w:t>
    </w:r>
  </w:p>
  <w:p w14:paraId="0A9AEAC8" w14:textId="77777777" w:rsidR="00B8392A" w:rsidRPr="005E544C" w:rsidRDefault="00B8392A" w:rsidP="00B8392A">
    <w:pPr>
      <w:rPr>
        <w:rFonts w:cs="Arial"/>
        <w:szCs w:val="22"/>
      </w:rPr>
    </w:pPr>
  </w:p>
  <w:p w14:paraId="742DA79C" w14:textId="77777777" w:rsidR="00B8392A" w:rsidRPr="005E544C" w:rsidRDefault="00B8392A" w:rsidP="00B8392A">
    <w:pPr>
      <w:rPr>
        <w:rFonts w:cs="Arial"/>
        <w:szCs w:val="22"/>
      </w:rPr>
    </w:pPr>
  </w:p>
  <w:p w14:paraId="16840B47" w14:textId="00AB7D43" w:rsidR="00B8392A" w:rsidRPr="00A27B7B" w:rsidRDefault="00A27B7B" w:rsidP="00B8392A">
    <w:pPr>
      <w:pStyle w:val="Docheading"/>
    </w:pPr>
    <w:r w:rsidRPr="00851D33">
      <w:rPr>
        <w:color w:val="000000"/>
      </w:rPr>
      <w:t xml:space="preserve">Revised </w:t>
    </w:r>
    <w:r w:rsidRPr="00A27B7B">
      <w:rPr>
        <w:color w:val="000000"/>
      </w:rPr>
      <w:t xml:space="preserve">Concept Note on the </w:t>
    </w:r>
    <w:r>
      <w:rPr>
        <w:color w:val="000000"/>
      </w:rPr>
      <w:t>‘</w:t>
    </w:r>
    <w:r w:rsidRPr="00A27B7B">
      <w:rPr>
        <w:color w:val="000000"/>
      </w:rPr>
      <w:t xml:space="preserve">IOC </w:t>
    </w:r>
    <w:r w:rsidRPr="00851D33">
      <w:rPr>
        <w:color w:val="000000"/>
      </w:rPr>
      <w:t xml:space="preserve">State of the Ocean </w:t>
    </w:r>
    <w:r w:rsidRPr="00A27B7B">
      <w:rPr>
        <w:color w:val="000000"/>
      </w:rPr>
      <w:t>Report</w:t>
    </w:r>
    <w:r>
      <w:rPr>
        <w:color w:val="000000"/>
      </w:rPr>
      <w:t>’</w:t>
    </w:r>
    <w:r w:rsidRPr="00A27B7B">
      <w:rPr>
        <w:color w:val="000000"/>
      </w:rPr>
      <w:t xml:space="preserve"> (S</w:t>
    </w:r>
    <w:r w:rsidR="002C2B0E">
      <w:rPr>
        <w:color w:val="000000"/>
      </w:rPr>
      <w:t>t</w:t>
    </w:r>
    <w:r w:rsidRPr="00A27B7B">
      <w:rPr>
        <w:color w:val="000000"/>
      </w:rPr>
      <w:t>OR)</w:t>
    </w:r>
  </w:p>
  <w:p w14:paraId="62B16328" w14:textId="77777777" w:rsidR="00020AA1" w:rsidRPr="00B8392A" w:rsidRDefault="00020AA1"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72CB" w14:textId="78F2DBE5" w:rsidR="00020AA1" w:rsidRPr="00851D33" w:rsidRDefault="00A27B7B" w:rsidP="00A27B7B">
    <w:pPr>
      <w:pStyle w:val="Header"/>
      <w:tabs>
        <w:tab w:val="clear" w:pos="8306"/>
      </w:tabs>
      <w:rPr>
        <w:lang w:val="pt-PT"/>
      </w:rPr>
    </w:pPr>
    <w:r w:rsidRPr="00851D33">
      <w:rPr>
        <w:lang w:val="pt-PT"/>
      </w:rPr>
      <w:t>IOC-32/</w:t>
    </w:r>
    <w:r w:rsidRPr="00A27B7B">
      <w:rPr>
        <w:rFonts w:cs="Arial"/>
        <w:szCs w:val="22"/>
        <w:lang w:val="pt-PT"/>
      </w:rPr>
      <w:t>4.</w:t>
    </w:r>
    <w:proofErr w:type="gramStart"/>
    <w:r w:rsidRPr="00A27B7B">
      <w:rPr>
        <w:rFonts w:cs="Arial"/>
        <w:szCs w:val="22"/>
        <w:lang w:val="pt-PT"/>
      </w:rPr>
      <w:t>2.</w:t>
    </w:r>
    <w:r w:rsidRPr="00851D33">
      <w:rPr>
        <w:lang w:val="pt-PT"/>
      </w:rPr>
      <w:t>Doc</w:t>
    </w:r>
    <w:proofErr w:type="gramEnd"/>
    <w:r w:rsidRPr="00851D33">
      <w:rPr>
        <w:lang w:val="pt-PT"/>
      </w:rPr>
      <w:t>(1)</w:t>
    </w:r>
    <w:r w:rsidRPr="00A27B7B">
      <w:rPr>
        <w:rFonts w:cs="Arial"/>
        <w:szCs w:val="22"/>
        <w:lang w:val="pt-PT"/>
      </w:rPr>
      <w:t xml:space="preserve"> – </w:t>
    </w:r>
    <w:proofErr w:type="spellStart"/>
    <w:r w:rsidRPr="00851D33">
      <w:rPr>
        <w:lang w:val="pt-PT"/>
      </w:rPr>
      <w:t>p</w:t>
    </w:r>
    <w:r w:rsidR="00020AA1" w:rsidRPr="00851D33">
      <w:rPr>
        <w:lang w:val="pt-PT"/>
      </w:rPr>
      <w:t>age</w:t>
    </w:r>
    <w:proofErr w:type="spellEnd"/>
    <w:r w:rsidR="00020AA1" w:rsidRPr="00851D33">
      <w:rPr>
        <w:lang w:val="pt-PT"/>
      </w:rPr>
      <w:t> </w:t>
    </w:r>
    <w:r w:rsidR="00020AA1" w:rsidRPr="00851D33">
      <w:rPr>
        <w:rStyle w:val="PageNumber"/>
      </w:rPr>
      <w:fldChar w:fldCharType="begin"/>
    </w:r>
    <w:r w:rsidR="00020AA1" w:rsidRPr="00851D33">
      <w:rPr>
        <w:rStyle w:val="PageNumber"/>
        <w:lang w:val="pt-PT"/>
      </w:rPr>
      <w:instrText xml:space="preserve"> PAGE </w:instrText>
    </w:r>
    <w:r w:rsidR="00020AA1" w:rsidRPr="00851D33">
      <w:rPr>
        <w:rStyle w:val="PageNumber"/>
      </w:rPr>
      <w:fldChar w:fldCharType="separate"/>
    </w:r>
    <w:r w:rsidR="001875D7">
      <w:rPr>
        <w:rStyle w:val="PageNumber"/>
        <w:noProof/>
        <w:lang w:val="pt-PT"/>
      </w:rPr>
      <w:t>4</w:t>
    </w:r>
    <w:r w:rsidR="00020AA1" w:rsidRPr="00851D33">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A30B" w14:textId="407F8BD4" w:rsidR="00020AA1" w:rsidRPr="00003B31" w:rsidRDefault="00A27B7B" w:rsidP="00B8392A">
    <w:pPr>
      <w:pStyle w:val="Header"/>
      <w:tabs>
        <w:tab w:val="clear" w:pos="8306"/>
      </w:tabs>
      <w:ind w:left="6804"/>
      <w:rPr>
        <w:rFonts w:cs="Arial"/>
        <w:szCs w:val="22"/>
        <w:lang w:val="fr-FR"/>
      </w:rPr>
    </w:pPr>
    <w:r w:rsidRPr="00851D33">
      <w:rPr>
        <w:lang w:val="pt-PT"/>
      </w:rPr>
      <w:t>IOC-32/</w:t>
    </w:r>
    <w:r w:rsidRPr="00A27B7B">
      <w:rPr>
        <w:rFonts w:cs="Arial"/>
        <w:szCs w:val="22"/>
        <w:lang w:val="pt-PT"/>
      </w:rPr>
      <w:t>4.</w:t>
    </w:r>
    <w:proofErr w:type="gramStart"/>
    <w:r w:rsidRPr="00A27B7B">
      <w:rPr>
        <w:rFonts w:cs="Arial"/>
        <w:szCs w:val="22"/>
        <w:lang w:val="pt-PT"/>
      </w:rPr>
      <w:t>2.</w:t>
    </w:r>
    <w:r w:rsidRPr="00851D33">
      <w:rPr>
        <w:lang w:val="pt-PT"/>
      </w:rPr>
      <w:t>Doc</w:t>
    </w:r>
    <w:proofErr w:type="gramEnd"/>
    <w:r w:rsidRPr="00851D33">
      <w:rPr>
        <w:lang w:val="pt-PT"/>
      </w:rPr>
      <w:t>(1)</w:t>
    </w:r>
    <w:r w:rsidRPr="00A27B7B">
      <w:rPr>
        <w:rFonts w:cs="Arial"/>
        <w:szCs w:val="22"/>
        <w:lang w:val="pt-PT"/>
      </w:rPr>
      <w:t xml:space="preserve"> – </w:t>
    </w:r>
    <w:proofErr w:type="spellStart"/>
    <w:r w:rsidRPr="00851D33">
      <w:rPr>
        <w:lang w:val="pt-PT"/>
      </w:rPr>
      <w:t>page</w:t>
    </w:r>
    <w:proofErr w:type="spellEnd"/>
    <w:r w:rsidRPr="00851D33">
      <w:rPr>
        <w:lang w:val="pt-PT"/>
      </w:rPr>
      <w:t> </w:t>
    </w:r>
    <w:r w:rsidRPr="00A27B7B">
      <w:rPr>
        <w:rStyle w:val="PageNumber"/>
        <w:rFonts w:cs="Arial"/>
        <w:szCs w:val="22"/>
      </w:rPr>
      <w:fldChar w:fldCharType="begin"/>
    </w:r>
    <w:r w:rsidRPr="00A27B7B">
      <w:rPr>
        <w:rStyle w:val="PageNumber"/>
        <w:rFonts w:cs="Arial"/>
        <w:szCs w:val="22"/>
        <w:lang w:val="pt-PT"/>
      </w:rPr>
      <w:instrText xml:space="preserve"> PAGE </w:instrText>
    </w:r>
    <w:r w:rsidRPr="00A27B7B">
      <w:rPr>
        <w:rStyle w:val="PageNumber"/>
        <w:rFonts w:cs="Arial"/>
        <w:szCs w:val="22"/>
      </w:rPr>
      <w:fldChar w:fldCharType="separate"/>
    </w:r>
    <w:r w:rsidR="001875D7">
      <w:rPr>
        <w:rStyle w:val="PageNumber"/>
        <w:rFonts w:cs="Arial"/>
        <w:noProof/>
        <w:szCs w:val="22"/>
        <w:lang w:val="pt-PT"/>
      </w:rPr>
      <w:t>3</w:t>
    </w:r>
    <w:r w:rsidRPr="00A27B7B">
      <w:rPr>
        <w:rStyle w:val="PageNumber"/>
        <w:rFonts w:cs="Arial"/>
        <w:szCs w:val="22"/>
      </w:rPr>
      <w:fldChar w:fldCharType="end"/>
    </w:r>
  </w:p>
  <w:p w14:paraId="0752CE24" w14:textId="77777777" w:rsidR="00020AA1" w:rsidRPr="00003B31" w:rsidRDefault="00020AA1" w:rsidP="00B8392A">
    <w:pPr>
      <w:pStyle w:val="Header"/>
      <w:ind w:left="6804"/>
      <w:rPr>
        <w:rFonts w:cs="Arial"/>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BCE5" w14:textId="19F98A7F" w:rsidR="00020AA1" w:rsidRPr="00851D33" w:rsidRDefault="00020AA1" w:rsidP="00294AD5">
    <w:pPr>
      <w:pStyle w:val="Header"/>
      <w:jc w:val="right"/>
      <w:rPr>
        <w:lang w:val="pt-PT"/>
      </w:rPr>
    </w:pPr>
    <w:r w:rsidRPr="00851D33">
      <w:rPr>
        <w:lang w:val="pt-PT"/>
      </w:rPr>
      <w:t>IOC</w:t>
    </w:r>
    <w:r w:rsidR="00B8392A" w:rsidRPr="00851D33">
      <w:rPr>
        <w:lang w:val="pt-PT"/>
      </w:rPr>
      <w:t>-32</w:t>
    </w:r>
    <w:r w:rsidR="00003B31" w:rsidRPr="00851D33">
      <w:rPr>
        <w:lang w:val="pt-PT"/>
      </w:rPr>
      <w:t>/</w:t>
    </w:r>
    <w:r w:rsidR="00A27B7B" w:rsidRPr="00A27B7B">
      <w:rPr>
        <w:rFonts w:cs="Arial"/>
        <w:szCs w:val="22"/>
        <w:lang w:val="pt-PT"/>
      </w:rPr>
      <w:t>4.</w:t>
    </w:r>
    <w:proofErr w:type="gramStart"/>
    <w:r w:rsidR="00A27B7B" w:rsidRPr="00A27B7B">
      <w:rPr>
        <w:rFonts w:cs="Arial"/>
        <w:szCs w:val="22"/>
        <w:lang w:val="pt-PT"/>
      </w:rPr>
      <w:t>2</w:t>
    </w:r>
    <w:r w:rsidR="00B8392A" w:rsidRPr="00A27B7B">
      <w:rPr>
        <w:rFonts w:cs="Arial"/>
        <w:szCs w:val="22"/>
        <w:lang w:val="pt-PT"/>
      </w:rPr>
      <w:t>.</w:t>
    </w:r>
    <w:r w:rsidR="00B8392A" w:rsidRPr="00851D33">
      <w:rPr>
        <w:lang w:val="pt-PT"/>
      </w:rPr>
      <w:t>Doc</w:t>
    </w:r>
    <w:proofErr w:type="gramEnd"/>
    <w:r w:rsidR="00B8392A" w:rsidRPr="00851D33">
      <w:rPr>
        <w:lang w:val="pt-PT"/>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43BA78E4"/>
    <w:multiLevelType w:val="multilevel"/>
    <w:tmpl w:val="25EAF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204C64"/>
    <w:multiLevelType w:val="hybridMultilevel"/>
    <w:tmpl w:val="F398C1C2"/>
    <w:lvl w:ilvl="0" w:tplc="BDA289CA">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BE440D"/>
    <w:multiLevelType w:val="multilevel"/>
    <w:tmpl w:val="DF5C8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F64A96"/>
    <w:multiLevelType w:val="multilevel"/>
    <w:tmpl w:val="2CA2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42E24"/>
    <w:multiLevelType w:val="multilevel"/>
    <w:tmpl w:val="A514704C"/>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9" w15:restartNumberingAfterBreak="0">
    <w:nsid w:val="7AFA2BF5"/>
    <w:multiLevelType w:val="multilevel"/>
    <w:tmpl w:val="056E9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1376760">
    <w:abstractNumId w:val="3"/>
  </w:num>
  <w:num w:numId="2" w16cid:durableId="178740562">
    <w:abstractNumId w:val="5"/>
  </w:num>
  <w:num w:numId="3" w16cid:durableId="1041515300">
    <w:abstractNumId w:val="0"/>
  </w:num>
  <w:num w:numId="4" w16cid:durableId="942801584">
    <w:abstractNumId w:val="1"/>
  </w:num>
  <w:num w:numId="5" w16cid:durableId="1476726215">
    <w:abstractNumId w:val="2"/>
  </w:num>
  <w:num w:numId="6" w16cid:durableId="1480223245">
    <w:abstractNumId w:val="5"/>
  </w:num>
  <w:num w:numId="7" w16cid:durableId="443161542">
    <w:abstractNumId w:val="5"/>
  </w:num>
  <w:num w:numId="8" w16cid:durableId="46808918">
    <w:abstractNumId w:val="5"/>
  </w:num>
  <w:num w:numId="9" w16cid:durableId="533277849">
    <w:abstractNumId w:val="5"/>
  </w:num>
  <w:num w:numId="10" w16cid:durableId="487016203">
    <w:abstractNumId w:val="6"/>
  </w:num>
  <w:num w:numId="11" w16cid:durableId="958412898">
    <w:abstractNumId w:val="9"/>
  </w:num>
  <w:num w:numId="12" w16cid:durableId="558056861">
    <w:abstractNumId w:val="4"/>
  </w:num>
  <w:num w:numId="13" w16cid:durableId="670723018">
    <w:abstractNumId w:val="7"/>
  </w:num>
  <w:num w:numId="14" w16cid:durableId="830408307">
    <w:abstractNumId w:val="8"/>
  </w:num>
  <w:num w:numId="15" w16cid:durableId="162518628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3A"/>
    <w:rsid w:val="00003B31"/>
    <w:rsid w:val="00010BBB"/>
    <w:rsid w:val="00014648"/>
    <w:rsid w:val="00020AA1"/>
    <w:rsid w:val="00056F67"/>
    <w:rsid w:val="00084206"/>
    <w:rsid w:val="00085D6A"/>
    <w:rsid w:val="00093964"/>
    <w:rsid w:val="000F0254"/>
    <w:rsid w:val="00123719"/>
    <w:rsid w:val="001241D7"/>
    <w:rsid w:val="00137E97"/>
    <w:rsid w:val="001448C4"/>
    <w:rsid w:val="00155393"/>
    <w:rsid w:val="001572C7"/>
    <w:rsid w:val="001651DD"/>
    <w:rsid w:val="00167158"/>
    <w:rsid w:val="001875D7"/>
    <w:rsid w:val="00196052"/>
    <w:rsid w:val="001B3B24"/>
    <w:rsid w:val="001C6455"/>
    <w:rsid w:val="001D0D9B"/>
    <w:rsid w:val="001E233E"/>
    <w:rsid w:val="0021210D"/>
    <w:rsid w:val="00213147"/>
    <w:rsid w:val="00293A92"/>
    <w:rsid w:val="00294AD5"/>
    <w:rsid w:val="002C2B0E"/>
    <w:rsid w:val="002C7DE3"/>
    <w:rsid w:val="002E0859"/>
    <w:rsid w:val="002E356B"/>
    <w:rsid w:val="002E5149"/>
    <w:rsid w:val="00310D61"/>
    <w:rsid w:val="0034156B"/>
    <w:rsid w:val="003561BE"/>
    <w:rsid w:val="003805F5"/>
    <w:rsid w:val="00381B43"/>
    <w:rsid w:val="003A7860"/>
    <w:rsid w:val="003D3711"/>
    <w:rsid w:val="003F0267"/>
    <w:rsid w:val="003F55CF"/>
    <w:rsid w:val="003F7186"/>
    <w:rsid w:val="00401F06"/>
    <w:rsid w:val="004031FB"/>
    <w:rsid w:val="00413F17"/>
    <w:rsid w:val="0042023A"/>
    <w:rsid w:val="00424DE6"/>
    <w:rsid w:val="00436C02"/>
    <w:rsid w:val="004529B8"/>
    <w:rsid w:val="00467E3F"/>
    <w:rsid w:val="004A135F"/>
    <w:rsid w:val="004A5170"/>
    <w:rsid w:val="004B7AA6"/>
    <w:rsid w:val="004C1625"/>
    <w:rsid w:val="004F7D6C"/>
    <w:rsid w:val="00576270"/>
    <w:rsid w:val="00595866"/>
    <w:rsid w:val="005C7A36"/>
    <w:rsid w:val="005C7D76"/>
    <w:rsid w:val="005D1E90"/>
    <w:rsid w:val="005D757C"/>
    <w:rsid w:val="005E544C"/>
    <w:rsid w:val="005E6104"/>
    <w:rsid w:val="00610883"/>
    <w:rsid w:val="006110DA"/>
    <w:rsid w:val="00633EA5"/>
    <w:rsid w:val="00670721"/>
    <w:rsid w:val="006842FA"/>
    <w:rsid w:val="0068682C"/>
    <w:rsid w:val="00690A0C"/>
    <w:rsid w:val="00690FD2"/>
    <w:rsid w:val="00693199"/>
    <w:rsid w:val="006A3C5A"/>
    <w:rsid w:val="006B4B95"/>
    <w:rsid w:val="006C18D9"/>
    <w:rsid w:val="006C6449"/>
    <w:rsid w:val="006D2A3A"/>
    <w:rsid w:val="00717CD4"/>
    <w:rsid w:val="007278D3"/>
    <w:rsid w:val="00737A18"/>
    <w:rsid w:val="00746B89"/>
    <w:rsid w:val="00754EB4"/>
    <w:rsid w:val="00783B0B"/>
    <w:rsid w:val="0079212B"/>
    <w:rsid w:val="007F44FA"/>
    <w:rsid w:val="008048D2"/>
    <w:rsid w:val="0081004E"/>
    <w:rsid w:val="00842BEB"/>
    <w:rsid w:val="00851D33"/>
    <w:rsid w:val="00853565"/>
    <w:rsid w:val="0085581C"/>
    <w:rsid w:val="00881C79"/>
    <w:rsid w:val="00886804"/>
    <w:rsid w:val="008A6E5C"/>
    <w:rsid w:val="008A7551"/>
    <w:rsid w:val="008B384B"/>
    <w:rsid w:val="008B4068"/>
    <w:rsid w:val="008D2398"/>
    <w:rsid w:val="008F6942"/>
    <w:rsid w:val="009026D3"/>
    <w:rsid w:val="00993CA4"/>
    <w:rsid w:val="009B63AB"/>
    <w:rsid w:val="009B6D38"/>
    <w:rsid w:val="009C0A89"/>
    <w:rsid w:val="009C15B1"/>
    <w:rsid w:val="009E517E"/>
    <w:rsid w:val="009E6A03"/>
    <w:rsid w:val="009E7B3F"/>
    <w:rsid w:val="009F3A67"/>
    <w:rsid w:val="009F5D50"/>
    <w:rsid w:val="009F7769"/>
    <w:rsid w:val="00A11697"/>
    <w:rsid w:val="00A25BC8"/>
    <w:rsid w:val="00A27B7B"/>
    <w:rsid w:val="00A5499A"/>
    <w:rsid w:val="00A61A11"/>
    <w:rsid w:val="00A63161"/>
    <w:rsid w:val="00A67449"/>
    <w:rsid w:val="00AA4454"/>
    <w:rsid w:val="00AA6E72"/>
    <w:rsid w:val="00AC1210"/>
    <w:rsid w:val="00AD3D55"/>
    <w:rsid w:val="00B4372B"/>
    <w:rsid w:val="00B44BB2"/>
    <w:rsid w:val="00B722DE"/>
    <w:rsid w:val="00B80530"/>
    <w:rsid w:val="00B83068"/>
    <w:rsid w:val="00B837CF"/>
    <w:rsid w:val="00B8392A"/>
    <w:rsid w:val="00BA00B3"/>
    <w:rsid w:val="00BD122F"/>
    <w:rsid w:val="00BD6603"/>
    <w:rsid w:val="00BF069C"/>
    <w:rsid w:val="00BF196F"/>
    <w:rsid w:val="00BF3835"/>
    <w:rsid w:val="00BF454A"/>
    <w:rsid w:val="00C05C8A"/>
    <w:rsid w:val="00C1002D"/>
    <w:rsid w:val="00C114DB"/>
    <w:rsid w:val="00C25547"/>
    <w:rsid w:val="00C2635E"/>
    <w:rsid w:val="00C3684D"/>
    <w:rsid w:val="00C4032B"/>
    <w:rsid w:val="00C6486C"/>
    <w:rsid w:val="00C648D3"/>
    <w:rsid w:val="00C75B02"/>
    <w:rsid w:val="00C962F0"/>
    <w:rsid w:val="00D013ED"/>
    <w:rsid w:val="00D07943"/>
    <w:rsid w:val="00D36BDC"/>
    <w:rsid w:val="00D42249"/>
    <w:rsid w:val="00D5049E"/>
    <w:rsid w:val="00D55FEC"/>
    <w:rsid w:val="00D8503A"/>
    <w:rsid w:val="00DF2FB9"/>
    <w:rsid w:val="00E0422A"/>
    <w:rsid w:val="00E12FE1"/>
    <w:rsid w:val="00E23434"/>
    <w:rsid w:val="00E63DEF"/>
    <w:rsid w:val="00E64936"/>
    <w:rsid w:val="00E96D3E"/>
    <w:rsid w:val="00EE0542"/>
    <w:rsid w:val="00EE6AB9"/>
    <w:rsid w:val="00F3429D"/>
    <w:rsid w:val="00F463F2"/>
    <w:rsid w:val="00F56DB8"/>
    <w:rsid w:val="00F72A36"/>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957C22"/>
  <w15:docId w15:val="{AB2AE713-5BAF-8E41-BE3E-EC286D0E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D1E90"/>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B837CF"/>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B837CF"/>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character" w:customStyle="1" w:styleId="UnresolvedMention1">
    <w:name w:val="Unresolved Mention1"/>
    <w:basedOn w:val="DefaultParagraphFont"/>
    <w:uiPriority w:val="99"/>
    <w:semiHidden/>
    <w:unhideWhenUsed/>
    <w:rsid w:val="003F0267"/>
    <w:rPr>
      <w:color w:val="605E5C"/>
      <w:shd w:val="clear" w:color="auto" w:fill="E1DFDD"/>
    </w:rPr>
  </w:style>
  <w:style w:type="paragraph" w:styleId="Revision">
    <w:name w:val="Revision"/>
    <w:hidden/>
    <w:uiPriority w:val="99"/>
    <w:semiHidden/>
    <w:rsid w:val="002C2B0E"/>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77806">
      <w:bodyDiv w:val="1"/>
      <w:marLeft w:val="0"/>
      <w:marRight w:val="0"/>
      <w:marTop w:val="0"/>
      <w:marBottom w:val="0"/>
      <w:divBdr>
        <w:top w:val="none" w:sz="0" w:space="0" w:color="auto"/>
        <w:left w:val="none" w:sz="0" w:space="0" w:color="auto"/>
        <w:bottom w:val="none" w:sz="0" w:space="0" w:color="auto"/>
        <w:right w:val="none" w:sz="0" w:space="0" w:color="auto"/>
      </w:divBdr>
    </w:div>
    <w:div w:id="962930342">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ceanexpert.org/document/30700"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oa.iode.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nesdoc.unesco.org/ark:/48223/pf0000381921.locale=en"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oceanexpert.org/document/28482" TargetMode="External"/><Relationship Id="rId20" Type="http://schemas.openxmlformats.org/officeDocument/2006/relationships/hyperlink" Target="https://www.ipcc.ch/sro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oceanexpert.org/document/28087" TargetMode="External"/><Relationship Id="rId23" Type="http://schemas.openxmlformats.org/officeDocument/2006/relationships/hyperlink" Target="http://goa-on.org/oars/overview.php"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5194/essd-12-3269-20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esdoc.unesco.org/ark:/48223/pf0000375266.locale=en" TargetMode="External"/><Relationship Id="rId22" Type="http://schemas.openxmlformats.org/officeDocument/2006/relationships/hyperlink" Target="http://goa-on.org"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47414-5B5F-114D-BF76-B02DB03E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3157</Words>
  <Characters>17809</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Kirsten Isensee</dc:creator>
  <cp:lastModifiedBy>Boned, Patrice</cp:lastModifiedBy>
  <cp:revision>2</cp:revision>
  <cp:lastPrinted>2002-06-12T09:28:00Z</cp:lastPrinted>
  <dcterms:created xsi:type="dcterms:W3CDTF">2023-05-30T20:57:00Z</dcterms:created>
  <dcterms:modified xsi:type="dcterms:W3CDTF">2023-05-30T20:57:00Z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