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Pr="006C07E7" w:rsidRDefault="00EB3895" w:rsidP="00EB3895">
      <w:pPr>
        <w:pStyle w:val="Titre1"/>
        <w:spacing w:before="480"/>
        <w:jc w:val="left"/>
        <w:rPr>
          <w:rFonts w:asciiTheme="minorBidi" w:hAnsiTheme="minorBidi" w:cstheme="minorBidi"/>
        </w:rPr>
      </w:pPr>
    </w:p>
    <w:p w14:paraId="748272EF" w14:textId="435004E9" w:rsidR="00EB3895" w:rsidRPr="006C07E7" w:rsidRDefault="00EB3895" w:rsidP="00EB3895">
      <w:pPr>
        <w:pStyle w:val="Titre1"/>
        <w:spacing w:before="1800" w:after="0"/>
        <w:rPr>
          <w:rFonts w:asciiTheme="minorBidi" w:hAnsiTheme="minorBidi" w:cstheme="minorBidi"/>
        </w:rPr>
      </w:pPr>
      <w:r w:rsidRPr="006C07E7">
        <w:rPr>
          <w:rFonts w:asciiTheme="minorBidi" w:hAnsiTheme="minorBidi" w:cstheme="minorBidi"/>
        </w:rPr>
        <w:t xml:space="preserve">COMMISSION OCÉANOGRAPHIQUE </w:t>
      </w:r>
      <w:r w:rsidR="00DA71B9" w:rsidRPr="006C07E7">
        <w:rPr>
          <w:rFonts w:asciiTheme="minorBidi" w:hAnsiTheme="minorBidi" w:cstheme="minorBidi"/>
        </w:rPr>
        <w:t>I</w:t>
      </w:r>
      <w:r w:rsidRPr="006C07E7">
        <w:rPr>
          <w:rFonts w:asciiTheme="minorBidi" w:hAnsiTheme="minorBidi" w:cstheme="minorBidi"/>
        </w:rPr>
        <w:t>NTERGOUVERNEMENTALE</w:t>
      </w:r>
    </w:p>
    <w:p w14:paraId="0F1DC779" w14:textId="5BE7761C" w:rsidR="00EB3895" w:rsidRPr="006C07E7" w:rsidRDefault="00EB3895" w:rsidP="00EB3895">
      <w:pPr>
        <w:jc w:val="center"/>
        <w:rPr>
          <w:rFonts w:asciiTheme="minorBidi" w:hAnsiTheme="minorBidi" w:cstheme="minorBidi"/>
          <w:bCs/>
        </w:rPr>
      </w:pPr>
      <w:r w:rsidRPr="006C07E7">
        <w:rPr>
          <w:rFonts w:asciiTheme="minorBidi" w:hAnsiTheme="minorBidi" w:cstheme="minorBidi"/>
          <w:bCs/>
        </w:rPr>
        <w:t>(de l</w:t>
      </w:r>
      <w:r w:rsidR="008F5C53">
        <w:rPr>
          <w:rFonts w:asciiTheme="minorBidi" w:hAnsiTheme="minorBidi" w:cstheme="minorBidi"/>
          <w:bCs/>
        </w:rPr>
        <w:t>’</w:t>
      </w:r>
      <w:r w:rsidRPr="006C07E7">
        <w:rPr>
          <w:rFonts w:asciiTheme="minorBidi" w:hAnsiTheme="minorBidi" w:cstheme="minorBidi"/>
          <w:bCs/>
        </w:rPr>
        <w:t>UNESCO)</w:t>
      </w:r>
    </w:p>
    <w:p w14:paraId="5B0D4193" w14:textId="0F83C860" w:rsidR="00EB3895" w:rsidRPr="006C07E7" w:rsidRDefault="000723F0" w:rsidP="00EB3895">
      <w:pPr>
        <w:spacing w:before="240"/>
        <w:jc w:val="center"/>
        <w:rPr>
          <w:rFonts w:asciiTheme="minorBidi" w:hAnsiTheme="minorBidi" w:cstheme="minorBidi"/>
          <w:b/>
        </w:rPr>
      </w:pPr>
      <w:r w:rsidRPr="006C07E7">
        <w:rPr>
          <w:rFonts w:asciiTheme="minorBidi" w:hAnsiTheme="minorBidi" w:cstheme="minorBidi"/>
          <w:b/>
        </w:rPr>
        <w:t>Trente-deuxi</w:t>
      </w:r>
      <w:r w:rsidR="00EB3895" w:rsidRPr="006C07E7">
        <w:rPr>
          <w:rFonts w:asciiTheme="minorBidi" w:hAnsiTheme="minorBidi" w:cstheme="minorBidi"/>
          <w:b/>
        </w:rPr>
        <w:t xml:space="preserve">ème session </w:t>
      </w:r>
      <w:r w:rsidRPr="006C07E7">
        <w:rPr>
          <w:rFonts w:asciiTheme="minorBidi" w:hAnsiTheme="minorBidi" w:cstheme="minorBidi"/>
          <w:b/>
        </w:rPr>
        <w:t>de l</w:t>
      </w:r>
      <w:r w:rsidR="008F5C53">
        <w:rPr>
          <w:rFonts w:asciiTheme="minorBidi" w:hAnsiTheme="minorBidi" w:cstheme="minorBidi"/>
          <w:b/>
        </w:rPr>
        <w:t>’</w:t>
      </w:r>
      <w:r w:rsidRPr="006C07E7">
        <w:rPr>
          <w:rFonts w:asciiTheme="minorBidi" w:hAnsiTheme="minorBidi" w:cstheme="minorBidi"/>
          <w:b/>
        </w:rPr>
        <w:t>Assemblée</w:t>
      </w:r>
      <w:r w:rsidR="00EB3895" w:rsidRPr="006C07E7">
        <w:rPr>
          <w:rFonts w:asciiTheme="minorBidi" w:hAnsiTheme="minorBidi" w:cstheme="minorBidi"/>
          <w:b/>
        </w:rPr>
        <w:br/>
      </w:r>
      <w:r w:rsidR="00EB3895" w:rsidRPr="006C07E7">
        <w:rPr>
          <w:rFonts w:asciiTheme="minorBidi" w:hAnsiTheme="minorBidi" w:cstheme="minorBidi"/>
          <w:bCs/>
        </w:rPr>
        <w:t>UNESCO, P</w:t>
      </w:r>
      <w:r w:rsidR="00EB3895" w:rsidRPr="00A473BF">
        <w:rPr>
          <w:rFonts w:asciiTheme="minorBidi" w:hAnsiTheme="minorBidi" w:cstheme="minorBidi"/>
          <w:bCs/>
        </w:rPr>
        <w:t xml:space="preserve">aris, </w:t>
      </w:r>
      <w:r w:rsidRPr="00A473BF">
        <w:rPr>
          <w:rFonts w:asciiTheme="minorBidi" w:hAnsiTheme="minorBidi" w:cstheme="minorBidi"/>
          <w:bCs/>
        </w:rPr>
        <w:t>2</w:t>
      </w:r>
      <w:r w:rsidR="0042223B" w:rsidRPr="00A473BF">
        <w:rPr>
          <w:rFonts w:asciiTheme="minorBidi" w:hAnsiTheme="minorBidi" w:cstheme="minorBidi"/>
          <w:bCs/>
        </w:rPr>
        <w:t>1</w:t>
      </w:r>
      <w:r w:rsidRPr="00A473BF">
        <w:rPr>
          <w:rFonts w:asciiTheme="minorBidi" w:hAnsiTheme="minorBidi" w:cstheme="minorBidi"/>
          <w:bCs/>
        </w:rPr>
        <w:t>-3</w:t>
      </w:r>
      <w:r w:rsidRPr="006C07E7">
        <w:rPr>
          <w:rFonts w:asciiTheme="minorBidi" w:hAnsiTheme="minorBidi" w:cstheme="minorBidi"/>
          <w:bCs/>
        </w:rPr>
        <w:t>0</w:t>
      </w:r>
      <w:r w:rsidR="00393110">
        <w:rPr>
          <w:rFonts w:asciiTheme="minorBidi" w:hAnsiTheme="minorBidi" w:cstheme="minorBidi"/>
          <w:bCs/>
        </w:rPr>
        <w:t> </w:t>
      </w:r>
      <w:r w:rsidR="00EB3895" w:rsidRPr="006C07E7">
        <w:rPr>
          <w:rFonts w:asciiTheme="minorBidi" w:hAnsiTheme="minorBidi" w:cstheme="minorBidi"/>
          <w:bCs/>
        </w:rPr>
        <w:t>juin 202</w:t>
      </w:r>
      <w:r w:rsidRPr="006C07E7">
        <w:rPr>
          <w:rFonts w:asciiTheme="minorBidi" w:hAnsiTheme="minorBidi" w:cstheme="minorBidi"/>
          <w:bCs/>
        </w:rPr>
        <w:t>3</w:t>
      </w:r>
    </w:p>
    <w:p w14:paraId="607D1C93" w14:textId="3EFA5EBB" w:rsidR="00EB3895" w:rsidRPr="006C07E7" w:rsidRDefault="005C7D01" w:rsidP="00A473BF">
      <w:pPr>
        <w:pStyle w:val="Titre1"/>
        <w:spacing w:before="360" w:after="480"/>
        <w:jc w:val="left"/>
        <w:rPr>
          <w:rFonts w:asciiTheme="minorBidi" w:hAnsiTheme="minorBidi" w:cstheme="minorBidi"/>
          <w:b w:val="0"/>
          <w:bCs w:val="0"/>
          <w:u w:val="single"/>
        </w:rPr>
      </w:pPr>
      <w:r w:rsidRPr="006C07E7">
        <w:rPr>
          <w:rFonts w:asciiTheme="minorBidi" w:hAnsiTheme="minorBidi" w:cstheme="minorBidi"/>
          <w:b w:val="0"/>
          <w:bCs w:val="0"/>
          <w:u w:val="single"/>
        </w:rPr>
        <w:t>Point</w:t>
      </w:r>
      <w:r w:rsidR="00393110">
        <w:rPr>
          <w:rFonts w:asciiTheme="minorBidi" w:hAnsiTheme="minorBidi" w:cstheme="minorBidi"/>
          <w:b w:val="0"/>
          <w:bCs w:val="0"/>
          <w:u w:val="single"/>
        </w:rPr>
        <w:t> </w:t>
      </w:r>
      <w:r w:rsidR="00AA714F">
        <w:rPr>
          <w:rFonts w:asciiTheme="minorBidi" w:hAnsiTheme="minorBidi" w:cstheme="minorBidi"/>
          <w:u w:val="single"/>
        </w:rPr>
        <w:t>4</w:t>
      </w:r>
      <w:r w:rsidRPr="006C07E7">
        <w:rPr>
          <w:rFonts w:asciiTheme="minorBidi" w:hAnsiTheme="minorBidi" w:cstheme="minorBidi"/>
          <w:u w:val="single"/>
        </w:rPr>
        <w:t>.</w:t>
      </w:r>
      <w:r w:rsidR="004C18E2">
        <w:rPr>
          <w:rFonts w:asciiTheme="minorBidi" w:hAnsiTheme="minorBidi" w:cstheme="minorBidi"/>
          <w:u w:val="single"/>
        </w:rPr>
        <w:t>2</w:t>
      </w:r>
      <w:r w:rsidRPr="006C07E7">
        <w:rPr>
          <w:rFonts w:asciiTheme="minorBidi" w:hAnsiTheme="minorBidi" w:cstheme="minorBidi"/>
          <w:b w:val="0"/>
          <w:bCs w:val="0"/>
          <w:u w:val="single"/>
        </w:rPr>
        <w:t xml:space="preserve"> de l</w:t>
      </w:r>
      <w:r w:rsidR="008F5C53">
        <w:rPr>
          <w:rFonts w:asciiTheme="minorBidi" w:hAnsiTheme="minorBidi" w:cstheme="minorBidi"/>
          <w:b w:val="0"/>
          <w:bCs w:val="0"/>
          <w:u w:val="single"/>
        </w:rPr>
        <w:t>’</w:t>
      </w:r>
      <w:r w:rsidRPr="006C07E7">
        <w:rPr>
          <w:rFonts w:asciiTheme="minorBidi" w:hAnsiTheme="minorBidi" w:cstheme="minorBidi"/>
          <w:b w:val="0"/>
          <w:bCs w:val="0"/>
          <w:u w:val="single"/>
        </w:rPr>
        <w:t>ordre du jour provisoire</w:t>
      </w:r>
    </w:p>
    <w:p w14:paraId="3A7A8BD7" w14:textId="0E97BEA7" w:rsidR="005C7D01" w:rsidRPr="006C07E7" w:rsidRDefault="004C18E2" w:rsidP="004C18E2">
      <w:pPr>
        <w:tabs>
          <w:tab w:val="left" w:pos="-1440"/>
          <w:tab w:val="left" w:pos="-720"/>
          <w:tab w:val="left" w:pos="720"/>
          <w:tab w:val="left" w:pos="1440"/>
          <w:tab w:val="left" w:pos="2160"/>
          <w:tab w:val="left" w:pos="3600"/>
          <w:tab w:val="left" w:pos="4320"/>
          <w:tab w:val="left" w:pos="5040"/>
          <w:tab w:val="left" w:pos="5523"/>
          <w:tab w:val="left" w:pos="6480"/>
        </w:tabs>
        <w:spacing w:after="480"/>
        <w:jc w:val="center"/>
        <w:rPr>
          <w:rFonts w:asciiTheme="minorBidi" w:hAnsiTheme="minorBidi" w:cstheme="minorBidi"/>
          <w:b/>
          <w:bCs/>
          <w:caps/>
        </w:rPr>
      </w:pPr>
      <w:r w:rsidRPr="004C18E2">
        <w:rPr>
          <w:rFonts w:asciiTheme="minorBidi" w:hAnsiTheme="minorBidi" w:cstheme="minorBidi"/>
          <w:b/>
          <w:bCs/>
        </w:rPr>
        <w:t>NOTE CONCEPTUELLE RÉVISÉE SUR LE RAPPORT DE LA COI</w:t>
      </w:r>
      <w:r>
        <w:rPr>
          <w:rFonts w:asciiTheme="minorBidi" w:hAnsiTheme="minorBidi" w:cstheme="minorBidi"/>
          <w:b/>
          <w:bCs/>
        </w:rPr>
        <w:br/>
      </w:r>
      <w:r w:rsidRPr="004C18E2">
        <w:rPr>
          <w:rFonts w:asciiTheme="minorBidi" w:hAnsiTheme="minorBidi" w:cstheme="minorBidi"/>
          <w:b/>
          <w:bCs/>
        </w:rPr>
        <w:t>SUR L’ÉTAT DE L’OCÉAN</w:t>
      </w:r>
    </w:p>
    <w:tbl>
      <w:tblPr>
        <w:tblStyle w:val="Grilledutableau"/>
        <w:tblW w:w="0" w:type="auto"/>
        <w:jc w:val="center"/>
        <w:tblLook w:val="04A0" w:firstRow="1" w:lastRow="0" w:firstColumn="1" w:lastColumn="0" w:noHBand="0" w:noVBand="1"/>
      </w:tblPr>
      <w:tblGrid>
        <w:gridCol w:w="8226"/>
      </w:tblGrid>
      <w:tr w:rsidR="005C7D01" w:rsidRPr="006C07E7" w14:paraId="1A94C8A9" w14:textId="77777777" w:rsidTr="008E427E">
        <w:trPr>
          <w:jc w:val="center"/>
        </w:trPr>
        <w:tc>
          <w:tcPr>
            <w:tcW w:w="8226" w:type="dxa"/>
          </w:tcPr>
          <w:p w14:paraId="1FD6FF16" w14:textId="77777777" w:rsidR="005C7D01" w:rsidRPr="006C07E7" w:rsidRDefault="005C7D01" w:rsidP="00A473BF">
            <w:pPr>
              <w:tabs>
                <w:tab w:val="clear" w:pos="567"/>
              </w:tabs>
              <w:spacing w:before="60" w:after="240"/>
              <w:jc w:val="center"/>
              <w:rPr>
                <w:rFonts w:asciiTheme="minorBidi" w:eastAsia="Times New Roman" w:hAnsiTheme="minorBidi" w:cstheme="minorBidi"/>
                <w:b/>
                <w:bCs/>
                <w:szCs w:val="22"/>
                <w:u w:val="single"/>
                <w:lang w:eastAsia="en-US"/>
              </w:rPr>
            </w:pPr>
            <w:r w:rsidRPr="006C07E7">
              <w:rPr>
                <w:rFonts w:asciiTheme="minorBidi" w:eastAsia="Times New Roman" w:hAnsiTheme="minorBidi" w:cstheme="minorBidi"/>
                <w:b/>
                <w:bCs/>
                <w:szCs w:val="22"/>
                <w:u w:val="single"/>
                <w:lang w:eastAsia="en-US"/>
              </w:rPr>
              <w:t>Résumé</w:t>
            </w:r>
          </w:p>
          <w:p w14:paraId="7E48091F" w14:textId="77777777" w:rsidR="004C18E2" w:rsidRPr="004C18E2" w:rsidRDefault="004C18E2" w:rsidP="004C18E2">
            <w:pPr>
              <w:spacing w:after="240"/>
              <w:ind w:left="170" w:right="170"/>
              <w:jc w:val="both"/>
              <w:rPr>
                <w:rFonts w:asciiTheme="minorBidi" w:hAnsiTheme="minorBidi" w:cstheme="minorBidi"/>
              </w:rPr>
            </w:pPr>
            <w:r w:rsidRPr="004C18E2">
              <w:rPr>
                <w:rFonts w:asciiTheme="minorBidi" w:hAnsiTheme="minorBidi" w:cstheme="minorBidi"/>
              </w:rPr>
              <w:t>Le présent document a été préparé comme suite à la décision IOC/EC-55/3.3 (2022), qui invitait le Secrétariat de la COI à solliciter d’autres avis des États membres concernant la note conceptuelle sur le « Rapport de la COI sur l’état de l’océan », laquelle avait d’abord été présentée au Conseil exécutif en 2021.</w:t>
            </w:r>
          </w:p>
          <w:p w14:paraId="2C92E30C" w14:textId="77777777" w:rsidR="004C18E2" w:rsidRPr="004C18E2" w:rsidRDefault="004C18E2" w:rsidP="004C18E2">
            <w:pPr>
              <w:spacing w:after="240"/>
              <w:ind w:left="170" w:right="170"/>
              <w:jc w:val="both"/>
              <w:rPr>
                <w:rFonts w:asciiTheme="minorBidi" w:hAnsiTheme="minorBidi" w:cstheme="minorBidi"/>
              </w:rPr>
            </w:pPr>
            <w:r w:rsidRPr="004C18E2">
              <w:rPr>
                <w:rFonts w:asciiTheme="minorBidi" w:hAnsiTheme="minorBidi" w:cstheme="minorBidi"/>
              </w:rPr>
              <w:t>L’Assemblée de la COI est invitée à examiner et à approuver la note conceptuelle actualisée, qui décrit la production de la prochaine édition, y compris ses thèmes et son calendrier. Les annexes sont disponibles en anglais seulement.</w:t>
            </w:r>
          </w:p>
          <w:p w14:paraId="1A1D15B5" w14:textId="77777777" w:rsidR="004C18E2" w:rsidRPr="004C18E2" w:rsidRDefault="004C18E2" w:rsidP="004C18E2">
            <w:pPr>
              <w:spacing w:after="240"/>
              <w:ind w:left="170" w:right="170"/>
              <w:jc w:val="both"/>
              <w:rPr>
                <w:rFonts w:asciiTheme="minorBidi" w:hAnsiTheme="minorBidi" w:cstheme="minorBidi"/>
                <w:lang w:val="en-GB"/>
              </w:rPr>
            </w:pPr>
            <w:r w:rsidRPr="004C18E2">
              <w:rPr>
                <w:rFonts w:asciiTheme="minorBidi" w:hAnsiTheme="minorBidi" w:cstheme="minorBidi"/>
                <w:u w:val="single"/>
              </w:rPr>
              <w:t>Incidences financières et administratives</w:t>
            </w:r>
            <w:r w:rsidRPr="004C18E2">
              <w:rPr>
                <w:rFonts w:asciiTheme="minorBidi" w:hAnsiTheme="minorBidi" w:cstheme="minorBidi"/>
              </w:rPr>
              <w:t> : paragraphes 17 et 18.</w:t>
            </w:r>
          </w:p>
          <w:p w14:paraId="60C2571C" w14:textId="68D68C21" w:rsidR="005C7D01" w:rsidRPr="007143D2" w:rsidRDefault="004C18E2" w:rsidP="004C18E2">
            <w:pPr>
              <w:spacing w:after="240"/>
              <w:ind w:left="170" w:right="170"/>
              <w:jc w:val="both"/>
              <w:rPr>
                <w:rFonts w:asciiTheme="minorBidi" w:hAnsiTheme="minorBidi" w:cstheme="minorBidi"/>
              </w:rPr>
            </w:pPr>
            <w:r w:rsidRPr="004C18E2">
              <w:rPr>
                <w:rFonts w:asciiTheme="minorBidi" w:hAnsiTheme="minorBidi" w:cstheme="minorBidi"/>
              </w:rPr>
              <w:t xml:space="preserve">La </w:t>
            </w:r>
            <w:r w:rsidRPr="004C18E2">
              <w:rPr>
                <w:rFonts w:asciiTheme="minorBidi" w:hAnsiTheme="minorBidi" w:cstheme="minorBidi"/>
                <w:u w:val="single"/>
              </w:rPr>
              <w:t>décision proposée</w:t>
            </w:r>
            <w:r w:rsidRPr="004C18E2">
              <w:rPr>
                <w:rFonts w:asciiTheme="minorBidi" w:hAnsiTheme="minorBidi" w:cstheme="minorBidi"/>
              </w:rPr>
              <w:t xml:space="preserve"> porte la cote A-32/4.2 dans le Document relatif aux décisions à adopter (document IOC/A-32/AP Prov.).</w:t>
            </w:r>
          </w:p>
        </w:tc>
      </w:tr>
    </w:tbl>
    <w:p w14:paraId="28A7702B" w14:textId="77777777" w:rsidR="005C7D01" w:rsidRPr="006C07E7" w:rsidRDefault="005C7D01" w:rsidP="00B2519D">
      <w:pPr>
        <w:spacing w:after="240"/>
        <w:rPr>
          <w:rFonts w:asciiTheme="minorBidi" w:eastAsia="Times New Roman" w:hAnsiTheme="minorBidi" w:cstheme="minorBidi"/>
          <w:b/>
          <w:bCs/>
          <w:szCs w:val="22"/>
          <w:lang w:eastAsia="en-US"/>
        </w:rPr>
        <w:sectPr w:rsidR="005C7D01" w:rsidRPr="006C07E7" w:rsidSect="000723F0">
          <w:headerReference w:type="even" r:id="rId8"/>
          <w:headerReference w:type="default" r:id="rId9"/>
          <w:headerReference w:type="first" r:id="rId10"/>
          <w:pgSz w:w="11906" w:h="16838" w:code="9"/>
          <w:pgMar w:top="1418" w:right="1134" w:bottom="1134" w:left="1134" w:header="851" w:footer="680" w:gutter="0"/>
          <w:pgNumType w:start="1"/>
          <w:cols w:space="708"/>
          <w:titlePg/>
          <w:docGrid w:linePitch="360"/>
        </w:sectPr>
      </w:pPr>
    </w:p>
    <w:p w14:paraId="7CE1E8AD" w14:textId="77777777" w:rsidR="007143D2" w:rsidRDefault="007143D2" w:rsidP="004C18E2">
      <w:pPr>
        <w:pStyle w:val="Titre3"/>
        <w:rPr>
          <w:rFonts w:eastAsia="DengXian"/>
          <w:snapToGrid/>
        </w:rPr>
      </w:pPr>
      <w:r w:rsidRPr="007143D2">
        <w:rPr>
          <w:rFonts w:eastAsia="DengXian"/>
          <w:snapToGrid/>
        </w:rPr>
        <w:lastRenderedPageBreak/>
        <w:t>Introduction</w:t>
      </w:r>
    </w:p>
    <w:p w14:paraId="0C8B717A" w14:textId="4D8ADF3D" w:rsidR="004C18E2" w:rsidRPr="004C18E2" w:rsidRDefault="004C18E2" w:rsidP="004C18E2">
      <w:pPr>
        <w:pStyle w:val="Marge"/>
        <w:rPr>
          <w:rFonts w:eastAsia="Arial Unicode MS"/>
        </w:rPr>
      </w:pPr>
      <w:r w:rsidRPr="004C18E2">
        <w:rPr>
          <w:rFonts w:eastAsia="Arial Unicode MS"/>
        </w:rPr>
        <w:t>1.</w:t>
      </w:r>
      <w:r>
        <w:rPr>
          <w:rFonts w:eastAsia="Arial Unicode MS"/>
        </w:rPr>
        <w:tab/>
      </w:r>
      <w:r w:rsidRPr="004C18E2">
        <w:rPr>
          <w:rFonts w:eastAsia="Arial Unicode MS"/>
        </w:rPr>
        <w:t>Ces dernières années, le regain d’attention portée à l’océan mondial et la reconnaissance de son rôle crucial pour la vie sur Terre, le climat planétaire, la sécurité alimentaire et la santé et le bien</w:t>
      </w:r>
      <w:r w:rsidR="00BB0A0E">
        <w:rPr>
          <w:rFonts w:eastAsia="Arial Unicode MS"/>
        </w:rPr>
        <w:noBreakHyphen/>
      </w:r>
      <w:r w:rsidRPr="004C18E2">
        <w:rPr>
          <w:rFonts w:eastAsia="Arial Unicode MS"/>
        </w:rPr>
        <w:t>être humains, ainsi que de sa contribution à l’économie mondiale, ont suscité une demande accrue d’informations pertinentes, stratégiques, actuelles et facilement accessibles sur l’état de l’océan de la part des décideurs et de la société en général.</w:t>
      </w:r>
    </w:p>
    <w:p w14:paraId="5C8D1921" w14:textId="542E0F79" w:rsidR="004C18E2" w:rsidRPr="004C18E2" w:rsidRDefault="004C18E2" w:rsidP="004C18E2">
      <w:pPr>
        <w:pStyle w:val="Marge"/>
        <w:rPr>
          <w:rFonts w:eastAsia="Arial Unicode MS"/>
          <w:lang w:val="en-GB"/>
        </w:rPr>
      </w:pPr>
      <w:r>
        <w:rPr>
          <w:rFonts w:eastAsia="Arial Unicode MS"/>
        </w:rPr>
        <w:t>2.</w:t>
      </w:r>
      <w:r>
        <w:rPr>
          <w:rFonts w:eastAsia="Arial Unicode MS"/>
        </w:rPr>
        <w:tab/>
      </w:r>
      <w:r w:rsidRPr="00BB0A0E">
        <w:rPr>
          <w:rFonts w:eastAsia="Arial Unicode MS"/>
          <w:spacing w:val="-2"/>
        </w:rPr>
        <w:t>À sa 53</w:t>
      </w:r>
      <w:r w:rsidRPr="00BB0A0E">
        <w:rPr>
          <w:rFonts w:eastAsia="Arial Unicode MS"/>
          <w:spacing w:val="-2"/>
          <w:vertAlign w:val="superscript"/>
        </w:rPr>
        <w:t>e</w:t>
      </w:r>
      <w:r w:rsidRPr="00BB0A0E">
        <w:rPr>
          <w:rFonts w:eastAsia="Arial Unicode MS"/>
          <w:spacing w:val="-2"/>
        </w:rPr>
        <w:t> session (février 2021), le Conseil exécutif de la COI a examiné la proposition d’établissement d’un rapport périodique de la COI sur l’état de l’océan afin de répondre à la demande accrue d’informations essentielles sur l’état de l’océan évoquée plus haut (voir document </w:t>
      </w:r>
      <w:hyperlink r:id="rId11" w:history="1">
        <w:r w:rsidRPr="00BB0A0E">
          <w:rPr>
            <w:rFonts w:eastAsia="Arial Unicode MS"/>
            <w:color w:val="0000FF" w:themeColor="hyperlink"/>
            <w:spacing w:val="-2"/>
            <w:u w:val="single"/>
          </w:rPr>
          <w:t>IOC/INF</w:t>
        </w:r>
        <w:r w:rsidR="00BB0A0E" w:rsidRPr="00BB0A0E">
          <w:rPr>
            <w:rFonts w:eastAsia="Arial Unicode MS"/>
            <w:color w:val="0000FF" w:themeColor="hyperlink"/>
            <w:spacing w:val="-2"/>
            <w:u w:val="single"/>
          </w:rPr>
          <w:noBreakHyphen/>
        </w:r>
        <w:r w:rsidRPr="00BB0A0E">
          <w:rPr>
            <w:rFonts w:eastAsia="Arial Unicode MS"/>
            <w:color w:val="0000FF" w:themeColor="hyperlink"/>
            <w:spacing w:val="-2"/>
            <w:u w:val="single"/>
          </w:rPr>
          <w:t>1393</w:t>
        </w:r>
      </w:hyperlink>
      <w:r w:rsidRPr="00BB0A0E">
        <w:rPr>
          <w:rFonts w:eastAsia="Arial Unicode MS"/>
          <w:spacing w:val="-2"/>
        </w:rPr>
        <w:t>). À l’issue de la 53</w:t>
      </w:r>
      <w:r w:rsidRPr="00BB0A0E">
        <w:rPr>
          <w:rFonts w:eastAsia="Arial Unicode MS"/>
          <w:spacing w:val="-2"/>
          <w:vertAlign w:val="superscript"/>
        </w:rPr>
        <w:t>e</w:t>
      </w:r>
      <w:r w:rsidRPr="00BB0A0E">
        <w:rPr>
          <w:rFonts w:eastAsia="Arial Unicode MS"/>
          <w:spacing w:val="-2"/>
        </w:rPr>
        <w:t> session du Conseil exécutif, le Secrétariat de la COI a invité les États membres à exprimer leur point de vue sur la fréquence et la portée géographique du Rapport, les thématiques abordées et le style de présentation (voir lettre circulaire de la COI</w:t>
      </w:r>
      <w:r w:rsidR="00BB0A0E" w:rsidRPr="00BB0A0E">
        <w:rPr>
          <w:rFonts w:eastAsia="Arial Unicode MS"/>
          <w:spacing w:val="-2"/>
        </w:rPr>
        <w:t> </w:t>
      </w:r>
      <w:r w:rsidRPr="00BB0A0E">
        <w:rPr>
          <w:rFonts w:eastAsia="Arial Unicode MS"/>
          <w:spacing w:val="-2"/>
        </w:rPr>
        <w:t>n° </w:t>
      </w:r>
      <w:hyperlink r:id="rId12" w:history="1">
        <w:r w:rsidRPr="00BB0A0E">
          <w:rPr>
            <w:rFonts w:eastAsia="Arial Unicode MS"/>
            <w:color w:val="0000FF" w:themeColor="hyperlink"/>
            <w:spacing w:val="-2"/>
            <w:u w:val="single"/>
          </w:rPr>
          <w:t>2843</w:t>
        </w:r>
      </w:hyperlink>
      <w:r w:rsidRPr="00BB0A0E">
        <w:rPr>
          <w:rFonts w:eastAsia="Arial Unicode MS"/>
          <w:spacing w:val="-2"/>
        </w:rPr>
        <w:t>). En parallèle, le Secrétariat de la COI a organisé une consultation informelle d’experts sur le Rapport afin de discuter plus en détail de ses principaux éléments. Les résultats de la consultation des États membres et des experts ont été synthétisés dans le document </w:t>
      </w:r>
      <w:hyperlink r:id="rId13" w:history="1">
        <w:r w:rsidRPr="00BB0A0E">
          <w:rPr>
            <w:rFonts w:eastAsia="Arial Unicode MS"/>
            <w:color w:val="0000FF" w:themeColor="hyperlink"/>
            <w:spacing w:val="-2"/>
            <w:u w:val="single"/>
          </w:rPr>
          <w:t>IOC/INF</w:t>
        </w:r>
        <w:r w:rsidR="00BB0A0E" w:rsidRPr="00BB0A0E">
          <w:rPr>
            <w:rFonts w:eastAsia="Arial Unicode MS"/>
            <w:color w:val="0000FF" w:themeColor="hyperlink"/>
            <w:spacing w:val="-2"/>
            <w:u w:val="single"/>
          </w:rPr>
          <w:noBreakHyphen/>
        </w:r>
        <w:r w:rsidRPr="00BB0A0E">
          <w:rPr>
            <w:rFonts w:eastAsia="Arial Unicode MS"/>
            <w:color w:val="0000FF" w:themeColor="hyperlink"/>
            <w:spacing w:val="-2"/>
            <w:u w:val="single"/>
          </w:rPr>
          <w:t>1393</w:t>
        </w:r>
        <w:r w:rsidR="00BB0A0E" w:rsidRPr="00BB0A0E">
          <w:rPr>
            <w:rFonts w:eastAsia="Arial Unicode MS"/>
            <w:color w:val="0000FF" w:themeColor="hyperlink"/>
            <w:spacing w:val="-2"/>
            <w:u w:val="single"/>
          </w:rPr>
          <w:t> </w:t>
        </w:r>
        <w:r w:rsidRPr="00BB0A0E">
          <w:rPr>
            <w:rFonts w:eastAsia="Arial Unicode MS"/>
            <w:color w:val="0000FF" w:themeColor="hyperlink"/>
            <w:spacing w:val="-2"/>
            <w:u w:val="single"/>
          </w:rPr>
          <w:t>Rev</w:t>
        </w:r>
      </w:hyperlink>
      <w:r w:rsidRPr="00BB0A0E">
        <w:rPr>
          <w:rFonts w:eastAsia="Arial Unicode MS"/>
          <w:spacing w:val="-2"/>
        </w:rPr>
        <w:t>. L’Assemblée de la</w:t>
      </w:r>
      <w:r w:rsidR="00BB0A0E">
        <w:rPr>
          <w:rFonts w:eastAsia="Arial Unicode MS"/>
          <w:spacing w:val="-2"/>
        </w:rPr>
        <w:t> </w:t>
      </w:r>
      <w:r w:rsidRPr="00BB0A0E">
        <w:rPr>
          <w:rFonts w:eastAsia="Arial Unicode MS"/>
          <w:spacing w:val="-2"/>
        </w:rPr>
        <w:t>COI, à sa 31</w:t>
      </w:r>
      <w:r w:rsidRPr="00BB0A0E">
        <w:rPr>
          <w:rFonts w:eastAsia="Arial Unicode MS"/>
          <w:spacing w:val="-2"/>
          <w:vertAlign w:val="superscript"/>
        </w:rPr>
        <w:t>e</w:t>
      </w:r>
      <w:r w:rsidRPr="00BB0A0E">
        <w:rPr>
          <w:rFonts w:eastAsia="Arial Unicode MS"/>
          <w:spacing w:val="-2"/>
        </w:rPr>
        <w:t> session en juin 2021, a approuvé la production d’une édition pilote du Rapport, qui serait présentée au Conseil exécutif à sa 55</w:t>
      </w:r>
      <w:r w:rsidRPr="00BB0A0E">
        <w:rPr>
          <w:rFonts w:eastAsia="Arial Unicode MS"/>
          <w:spacing w:val="-2"/>
          <w:vertAlign w:val="superscript"/>
        </w:rPr>
        <w:t>e</w:t>
      </w:r>
      <w:r w:rsidRPr="00BB0A0E">
        <w:rPr>
          <w:rFonts w:eastAsia="Arial Unicode MS"/>
          <w:spacing w:val="-2"/>
        </w:rPr>
        <w:t> session en 2022.</w:t>
      </w:r>
    </w:p>
    <w:p w14:paraId="2C09EF97" w14:textId="1410CD44" w:rsidR="004C18E2" w:rsidRPr="004C18E2" w:rsidRDefault="004C18E2" w:rsidP="004C18E2">
      <w:pPr>
        <w:pStyle w:val="Marge"/>
        <w:rPr>
          <w:rFonts w:eastAsia="Arial Unicode MS"/>
        </w:rPr>
      </w:pPr>
      <w:r>
        <w:rPr>
          <w:rFonts w:eastAsia="Arial Unicode MS"/>
        </w:rPr>
        <w:t>3.</w:t>
      </w:r>
      <w:r>
        <w:rPr>
          <w:rFonts w:eastAsia="Arial Unicode MS"/>
        </w:rPr>
        <w:tab/>
      </w:r>
      <w:r w:rsidRPr="004C18E2">
        <w:rPr>
          <w:rFonts w:eastAsia="Arial Unicode MS"/>
        </w:rPr>
        <w:t>L’édition pilote du Rapport sur l’état de l’océan 2022 a été présentée au Conseil exécutif en juin 2022. La première édition s’articule autour des défis initiaux de la Décennie des Nations Unies pour les sciences océaniques au service du développement durable (2021-2030) et met également en évidence le besoin urgent d’une description quantitative de l’état de l’océan et de capacités permettant de rendre compte des changements. L’édition pilote contient 21 synopsis ; elle a été rédigée par 65 auteurs et révisée par 40 experts (voir le n° </w:t>
      </w:r>
      <w:hyperlink r:id="rId14" w:history="1">
        <w:r w:rsidRPr="004C18E2">
          <w:rPr>
            <w:rFonts w:eastAsia="Arial Unicode MS"/>
            <w:color w:val="0000FF" w:themeColor="hyperlink"/>
            <w:u w:val="single"/>
          </w:rPr>
          <w:t>173</w:t>
        </w:r>
      </w:hyperlink>
      <w:r w:rsidRPr="004C18E2">
        <w:rPr>
          <w:rFonts w:eastAsia="Arial Unicode MS"/>
        </w:rPr>
        <w:t xml:space="preserve"> de la Série technique de la COI). Elle a été présentée au grand public à l’occasion de la Conférence des Nations Unies sur les océans qui a eu lieu du 27 juin au 1</w:t>
      </w:r>
      <w:r w:rsidRPr="004C18E2">
        <w:rPr>
          <w:rFonts w:eastAsia="Arial Unicode MS"/>
          <w:vertAlign w:val="superscript"/>
        </w:rPr>
        <w:t>er</w:t>
      </w:r>
      <w:r w:rsidRPr="004C18E2">
        <w:rPr>
          <w:rFonts w:eastAsia="Arial Unicode MS"/>
        </w:rPr>
        <w:t> juillet 2022 à Lisbonne (Portugal) ; peu avant, le Conseil exécutif avait accueilli favorablement le concept et sollicité d’autres avis des États membres.</w:t>
      </w:r>
    </w:p>
    <w:p w14:paraId="14393D37" w14:textId="2E9A60B5" w:rsidR="004C18E2" w:rsidRPr="004C18E2" w:rsidRDefault="004C18E2" w:rsidP="004C18E2">
      <w:pPr>
        <w:pStyle w:val="Titre4"/>
        <w:rPr>
          <w:rFonts w:eastAsia="Arial Unicode MS"/>
          <w:lang w:val="en-GB"/>
        </w:rPr>
      </w:pPr>
      <w:r w:rsidRPr="004C18E2">
        <w:rPr>
          <w:rFonts w:eastAsia="Arial Unicode MS"/>
        </w:rPr>
        <w:t xml:space="preserve">Processus d’examen du Rapport sur l’état de l’océan par les États membres de la COI </w:t>
      </w:r>
      <w:r>
        <w:rPr>
          <w:rFonts w:eastAsia="Arial Unicode MS"/>
        </w:rPr>
        <w:br/>
      </w:r>
      <w:r w:rsidRPr="004C18E2">
        <w:rPr>
          <w:rFonts w:eastAsia="Arial Unicode MS"/>
        </w:rPr>
        <w:t>et le Secrétariat de la COI</w:t>
      </w:r>
    </w:p>
    <w:p w14:paraId="72EE13C9" w14:textId="115E170E" w:rsidR="004C18E2" w:rsidRPr="004C18E2" w:rsidRDefault="004C18E2" w:rsidP="004C18E2">
      <w:pPr>
        <w:pStyle w:val="Marge"/>
        <w:rPr>
          <w:rFonts w:eastAsia="Arial Unicode MS"/>
        </w:rPr>
      </w:pPr>
      <w:r>
        <w:rPr>
          <w:rFonts w:eastAsia="Arial Unicode MS"/>
        </w:rPr>
        <w:t>4.</w:t>
      </w:r>
      <w:r>
        <w:rPr>
          <w:rFonts w:eastAsia="Arial Unicode MS"/>
        </w:rPr>
        <w:tab/>
      </w:r>
      <w:r w:rsidRPr="004C18E2">
        <w:rPr>
          <w:rFonts w:eastAsia="Arial Unicode MS"/>
        </w:rPr>
        <w:t>À l’issue de la 55</w:t>
      </w:r>
      <w:r w:rsidRPr="004C18E2">
        <w:rPr>
          <w:rFonts w:eastAsia="Arial Unicode MS"/>
          <w:vertAlign w:val="superscript"/>
        </w:rPr>
        <w:t>e</w:t>
      </w:r>
      <w:r w:rsidRPr="004C18E2">
        <w:rPr>
          <w:rFonts w:eastAsia="Arial Unicode MS"/>
        </w:rPr>
        <w:t> session du Conseil exécutif, le Secrétariat de la COI a invité les États membres à donner de nouveau leur avis sur l’édition pilote du Rapport et à formuler des recommandations sur la manière d’améliorer ses éditions futures, en se concentrant sur sa portée et sa fréquence de publication (lettre circulaire de la COI n° </w:t>
      </w:r>
      <w:hyperlink r:id="rId15" w:history="1">
        <w:r w:rsidRPr="004C18E2">
          <w:rPr>
            <w:rFonts w:eastAsia="Arial Unicode MS"/>
            <w:color w:val="0000FF" w:themeColor="hyperlink"/>
            <w:u w:val="single"/>
          </w:rPr>
          <w:t>2899</w:t>
        </w:r>
      </w:hyperlink>
      <w:r w:rsidRPr="004C18E2">
        <w:rPr>
          <w:rFonts w:eastAsia="Arial Unicode MS"/>
        </w:rPr>
        <w:t>). Dix-huit (18) États membres de la COI ont répondu à cet appel entre juillet et septembre 2022 et fourni des conseils. Leurs observations sont synthétisées dans l’annexe 1 au présent document.</w:t>
      </w:r>
    </w:p>
    <w:p w14:paraId="3279F7B0" w14:textId="26AE191A" w:rsidR="004C18E2" w:rsidRPr="004C18E2" w:rsidRDefault="004C18E2" w:rsidP="004C18E2">
      <w:pPr>
        <w:pStyle w:val="Marge"/>
        <w:rPr>
          <w:rFonts w:eastAsia="Arial Unicode MS"/>
        </w:rPr>
      </w:pPr>
      <w:r>
        <w:rPr>
          <w:rFonts w:eastAsia="Arial Unicode MS"/>
        </w:rPr>
        <w:t>5.</w:t>
      </w:r>
      <w:r>
        <w:rPr>
          <w:rFonts w:eastAsia="Arial Unicode MS"/>
        </w:rPr>
        <w:tab/>
      </w:r>
      <w:r w:rsidRPr="004C18E2">
        <w:rPr>
          <w:rFonts w:eastAsia="Arial Unicode MS"/>
        </w:rPr>
        <w:t>Un Comité consultatif sur le Rapport sur l’état de l’océan a été mis en place au premier trimestre 2023 afin de faciliter la préparation de la note conceptuelle révisée sur le Rapport et de guider activement la préparation de sa prochaine édition. Il est composé de sept experts issus de sept États membres de la COI et du Secrétariat de la COI (annexe 2). Le Secrétariat de la COI a invité des experts nationaux en tenant compte de la représentation des différents groupes électoraux. Les commentaires et la note de synthèse révisée proposés sont le fruit de la consultation des États membres et des conseils fournis par le Comité consultatif.</w:t>
      </w:r>
    </w:p>
    <w:p w14:paraId="0C1FE38C" w14:textId="77777777" w:rsidR="004C18E2" w:rsidRPr="004C18E2" w:rsidRDefault="004C18E2" w:rsidP="004C18E2">
      <w:pPr>
        <w:pStyle w:val="Titre3"/>
        <w:rPr>
          <w:rFonts w:eastAsia="Arial Unicode MS"/>
          <w:lang w:val="en-GB"/>
        </w:rPr>
      </w:pPr>
      <w:r w:rsidRPr="004C18E2">
        <w:rPr>
          <w:rFonts w:eastAsia="Arial Unicode MS"/>
        </w:rPr>
        <w:t>Portée et objectifs révisés du Rapport sur l’état de l’océan</w:t>
      </w:r>
    </w:p>
    <w:p w14:paraId="3E6925B6" w14:textId="211E4EED" w:rsidR="004C18E2" w:rsidRPr="004C18E2" w:rsidRDefault="004C18E2" w:rsidP="004C18E2">
      <w:pPr>
        <w:pStyle w:val="Marge"/>
        <w:rPr>
          <w:rFonts w:eastAsia="Arial Unicode MS"/>
          <w:lang w:val="en-GB"/>
        </w:rPr>
      </w:pPr>
      <w:r>
        <w:rPr>
          <w:rFonts w:eastAsia="Arial Unicode MS"/>
        </w:rPr>
        <w:t>6.</w:t>
      </w:r>
      <w:r>
        <w:rPr>
          <w:rFonts w:eastAsia="Arial Unicode MS"/>
        </w:rPr>
        <w:tab/>
      </w:r>
      <w:r w:rsidRPr="004C18E2">
        <w:rPr>
          <w:rFonts w:eastAsia="Arial Unicode MS"/>
        </w:rPr>
        <w:t>Le Rapport ambitionne (i) de guider l’action des pouvoirs publics et d’appuyer les décisions concernant les axes de recherche qu’il faut renforcer ou développer et (ii) de contribuer à l’établissement de cadres de gouvernance de l’océan plus solides et fondés sur la science aux niveaux national et mondial.</w:t>
      </w:r>
    </w:p>
    <w:p w14:paraId="62D88544" w14:textId="0614716C" w:rsidR="004C18E2" w:rsidRPr="004C18E2" w:rsidRDefault="004C18E2" w:rsidP="004C18E2">
      <w:pPr>
        <w:pStyle w:val="Marge"/>
        <w:rPr>
          <w:rFonts w:eastAsia="Arial Unicode MS"/>
        </w:rPr>
      </w:pPr>
      <w:r>
        <w:rPr>
          <w:rFonts w:eastAsia="Arial Unicode MS"/>
        </w:rPr>
        <w:lastRenderedPageBreak/>
        <w:t>7.</w:t>
      </w:r>
      <w:r>
        <w:rPr>
          <w:rFonts w:eastAsia="Arial Unicode MS"/>
        </w:rPr>
        <w:tab/>
      </w:r>
      <w:r w:rsidRPr="004C18E2">
        <w:rPr>
          <w:rFonts w:eastAsia="Arial Unicode MS"/>
        </w:rPr>
        <w:t>Selon la note conceptuelle révisée, le Rapport présentera les résultats de l’analyse d’activités scientifiques liées à l’océan qui visent à décrire l’état actuel et futur de ce milieu, en se penchant sur des aspects physiques, chimiques, écologiques, socioéconomiques et de gouvernance, avec en ligne de mire les sept résultats de la Décennie de l’Océan. Ces activités contribuent directement à la vision de la Décennie et englobent les 10 défis de la Décennie initialement envisagés.</w:t>
      </w:r>
    </w:p>
    <w:p w14:paraId="277D6CDA" w14:textId="233A56BE" w:rsidR="004C18E2" w:rsidRPr="004C18E2" w:rsidRDefault="004C18E2" w:rsidP="004C18E2">
      <w:pPr>
        <w:pStyle w:val="Marge"/>
        <w:rPr>
          <w:rFonts w:eastAsia="Arial Unicode MS"/>
        </w:rPr>
      </w:pPr>
      <w:r>
        <w:rPr>
          <w:rFonts w:eastAsia="Arial Unicode MS"/>
        </w:rPr>
        <w:t>8.</w:t>
      </w:r>
      <w:r>
        <w:rPr>
          <w:rFonts w:eastAsia="Arial Unicode MS"/>
        </w:rPr>
        <w:tab/>
      </w:r>
      <w:r w:rsidRPr="004C18E2">
        <w:rPr>
          <w:rFonts w:eastAsia="Arial Unicode MS"/>
        </w:rPr>
        <w:t>Les résultats de la Décennie de l’Océan représentent les principales caractéristiques de « l’océan que nous voulons » à la fin de la Décennie et constituent donc le cadre idéal pour surveiller l’état de l’océan au cours de cette période. Structurer le rapport autour des résultats plutôt que des défis devrait permettre d’améliorer l’assimilation des résultats présentés. Cette publication complétera parfaitement les autres volets du cadre de suivi et d’évaluation de la Décennie de l’Océan, qui se focalisent sur les défis orientés vers l’action de la Décennie et les principaux éléments d’un environnement propice à la Décennie.</w:t>
      </w:r>
    </w:p>
    <w:p w14:paraId="11C5B74C" w14:textId="080DF83F" w:rsidR="004C18E2" w:rsidRPr="004C18E2" w:rsidRDefault="004C18E2" w:rsidP="004C18E2">
      <w:pPr>
        <w:pStyle w:val="Marge"/>
        <w:rPr>
          <w:rFonts w:eastAsia="Arial Unicode MS"/>
        </w:rPr>
      </w:pPr>
      <w:r>
        <w:rPr>
          <w:rFonts w:eastAsia="Arial Unicode MS"/>
        </w:rPr>
        <w:t>9.</w:t>
      </w:r>
      <w:r>
        <w:rPr>
          <w:rFonts w:eastAsia="Arial Unicode MS"/>
        </w:rPr>
        <w:tab/>
      </w:r>
      <w:r w:rsidRPr="004C18E2">
        <w:rPr>
          <w:rFonts w:eastAsia="Arial Unicode MS"/>
        </w:rPr>
        <w:t>Le Rapport comprendra des contributions non seulement des projets de la COI et des programmes affiliés, mais aussi d’autres organismes des Nations</w:t>
      </w:r>
      <w:r w:rsidR="00BB0A0E">
        <w:rPr>
          <w:rFonts w:eastAsia="Arial Unicode MS"/>
        </w:rPr>
        <w:t> </w:t>
      </w:r>
      <w:r w:rsidRPr="004C18E2">
        <w:rPr>
          <w:rFonts w:eastAsia="Arial Unicode MS"/>
        </w:rPr>
        <w:t>Unies et d’organisations pertinentes, qui seront recensés et invités à rédiger des synopsis en fonction des orientations fournies par le Comité consultatif. En s’appuyant sur les conseils des États membres, l’objectif sera de donner un aperçu concis de l’état actuel de l’océan, qui trouvera principalement son utilité auprès des responsables de l’élaboration des politiques, des décideurs et des scientifiques. L’objectif sera également de mobiliser la société mondiale pour qu’elle agisse en faveur de « l’océan dont nous avons besoin pour l’avenir que nous voulons », contribuant à la réalisation du Programme 2030, en particulier de l’ODD 14 intitulé « Conserver et exploiter de manière durable les océans, les mers et les ressources marines », ainsi qu’à d’autres processus mondiaux tels que la Convention</w:t>
      </w:r>
      <w:r w:rsidR="003613AA">
        <w:rPr>
          <w:rFonts w:eastAsia="Arial Unicode MS"/>
        </w:rPr>
        <w:noBreakHyphen/>
      </w:r>
      <w:r w:rsidRPr="004C18E2">
        <w:rPr>
          <w:rFonts w:eastAsia="Arial Unicode MS"/>
        </w:rPr>
        <w:t>cadre des Nations Unies sur les changements climatiques (CCNUCC), la Convention sur la diversité biologique et le Cadre de Sendai pour la réduction des risques de catastrophe.</w:t>
      </w:r>
    </w:p>
    <w:p w14:paraId="691598C0" w14:textId="4A73E4B6" w:rsidR="004C18E2" w:rsidRPr="004C18E2" w:rsidRDefault="004C18E2" w:rsidP="004C18E2">
      <w:pPr>
        <w:pStyle w:val="Marge"/>
        <w:rPr>
          <w:rFonts w:eastAsia="Arial Unicode MS"/>
          <w:lang w:val="en-GB"/>
        </w:rPr>
      </w:pPr>
      <w:r>
        <w:rPr>
          <w:rFonts w:eastAsia="Arial Unicode MS"/>
        </w:rPr>
        <w:t>10.</w:t>
      </w:r>
      <w:r>
        <w:rPr>
          <w:rFonts w:eastAsia="Arial Unicode MS"/>
        </w:rPr>
        <w:tab/>
      </w:r>
      <w:r w:rsidRPr="004C18E2">
        <w:rPr>
          <w:rFonts w:eastAsia="Arial Unicode MS"/>
        </w:rPr>
        <w:t>Il existe déjà plusieurs publications entièrement consacrées à l’océan ou contenant des chapitres sur des thématiques liées à l’océan, qui informent le grand public, les décideurs et les autres acteurs du secteur maritime sur l’importance de ce milieu. Parmi les publications de cet ordre, figure l’Évaluation mondiale de l’océan, dont la première a été publiée en 2016 et la deuxième, en</w:t>
      </w:r>
      <w:r w:rsidR="003613AA">
        <w:rPr>
          <w:rFonts w:eastAsia="Arial Unicode MS"/>
        </w:rPr>
        <w:t> </w:t>
      </w:r>
      <w:r w:rsidRPr="004C18E2">
        <w:rPr>
          <w:rFonts w:eastAsia="Arial Unicode MS"/>
        </w:rPr>
        <w:t>2021. Cette deuxième évaluation est un rapport complet de plus de 1 000 pages</w:t>
      </w:r>
      <w:r w:rsidR="003613AA">
        <w:rPr>
          <w:rFonts w:eastAsia="Arial Unicode MS"/>
        </w:rPr>
        <w:t>,</w:t>
      </w:r>
      <w:r w:rsidRPr="004C18E2">
        <w:rPr>
          <w:rFonts w:eastAsia="Arial Unicode MS"/>
        </w:rPr>
        <w:t xml:space="preserve"> rédigé par plus de 300 scientifiques désignés par les États membres de l’ONU. Le Rapport, qui devrait paraître tous les deux ans, s’inscrit dans cette dynamique. Il vise à compléter la contribution des Nations Unies dans le cadre des processus concernant l’océan et fournit un résumé succinct des dernières informations disponibles en vue de parvenir aux résultats de la Décennie de l’Océan. Le Rapport complète également les informations contenues dans les </w:t>
      </w:r>
      <w:r w:rsidRPr="004C18E2">
        <w:rPr>
          <w:rFonts w:eastAsia="Arial Unicode MS"/>
          <w:i/>
          <w:iCs/>
        </w:rPr>
        <w:t>Rapports mondiaux sur les sciences océaniques</w:t>
      </w:r>
      <w:r w:rsidRPr="004C18E2">
        <w:rPr>
          <w:rFonts w:eastAsia="Arial Unicode MS"/>
        </w:rPr>
        <w:t xml:space="preserve"> de la COI, lesquels traitent du cadre propice aux sciences océaniques, lui permettant d’aboutir aux conclusions et aux évaluations qu’il présente.</w:t>
      </w:r>
    </w:p>
    <w:p w14:paraId="7C91FC27" w14:textId="77777777" w:rsidR="004C18E2" w:rsidRPr="004C18E2" w:rsidRDefault="004C18E2" w:rsidP="004C18E2">
      <w:pPr>
        <w:pStyle w:val="Titre3"/>
        <w:rPr>
          <w:rFonts w:eastAsia="Arial Unicode MS"/>
          <w:lang w:val="en-GB"/>
        </w:rPr>
      </w:pPr>
      <w:r w:rsidRPr="004C18E2">
        <w:rPr>
          <w:rFonts w:eastAsia="Arial Unicode MS"/>
        </w:rPr>
        <w:t>Structure et calendrier de la production</w:t>
      </w:r>
    </w:p>
    <w:p w14:paraId="07834E6C" w14:textId="77352AD9" w:rsidR="004C18E2" w:rsidRPr="004C18E2" w:rsidRDefault="004C18E2" w:rsidP="004C18E2">
      <w:pPr>
        <w:pStyle w:val="Marge"/>
        <w:rPr>
          <w:rFonts w:eastAsia="Arial Unicode MS"/>
          <w:lang w:val="en-GB"/>
        </w:rPr>
      </w:pPr>
      <w:r>
        <w:rPr>
          <w:rFonts w:eastAsia="Arial Unicode MS"/>
        </w:rPr>
        <w:t>11.</w:t>
      </w:r>
      <w:r>
        <w:rPr>
          <w:rFonts w:eastAsia="Arial Unicode MS"/>
        </w:rPr>
        <w:tab/>
      </w:r>
      <w:r w:rsidRPr="004C18E2">
        <w:rPr>
          <w:rFonts w:eastAsia="Arial Unicode MS"/>
        </w:rPr>
        <w:t>La prochaine édition du Rapport, laquelle sera publiée en 2024, devrait comporter plusieurs synopsis évoquant des thématiques qui font l’objet d’évaluations mondiales liées à chaque résultat de la Décennie.</w:t>
      </w:r>
    </w:p>
    <w:p w14:paraId="5364283A" w14:textId="7F8C4AF3" w:rsidR="004C18E2" w:rsidRPr="004C18E2" w:rsidRDefault="004C18E2" w:rsidP="004C18E2">
      <w:pPr>
        <w:pStyle w:val="Marge"/>
        <w:rPr>
          <w:rFonts w:eastAsia="Arial Unicode MS"/>
        </w:rPr>
      </w:pPr>
      <w:r>
        <w:rPr>
          <w:rFonts w:eastAsia="Arial Unicode MS"/>
        </w:rPr>
        <w:t>12.</w:t>
      </w:r>
      <w:r>
        <w:rPr>
          <w:rFonts w:eastAsia="Arial Unicode MS"/>
        </w:rPr>
        <w:tab/>
      </w:r>
      <w:r w:rsidRPr="004C18E2">
        <w:rPr>
          <w:rFonts w:eastAsia="Arial Unicode MS"/>
        </w:rPr>
        <w:t>Les éditions du Rapport seront exhaustives mais concises et contiendront entre deux et cinq synopsis par résultat de la Décennie. Les synopsis correspondent à de brèves descriptions narratives de paramètres, de questions se rapportant à des tendances et d’activités, accompagnées de chiffres.</w:t>
      </w:r>
    </w:p>
    <w:p w14:paraId="44680C3E" w14:textId="52573862" w:rsidR="004C18E2" w:rsidRPr="004C18E2" w:rsidRDefault="004C18E2" w:rsidP="004C18E2">
      <w:pPr>
        <w:pStyle w:val="Marge"/>
        <w:rPr>
          <w:rFonts w:eastAsia="Arial Unicode MS"/>
        </w:rPr>
      </w:pPr>
      <w:r>
        <w:rPr>
          <w:rFonts w:eastAsia="Arial Unicode MS"/>
        </w:rPr>
        <w:t>13.</w:t>
      </w:r>
      <w:r>
        <w:rPr>
          <w:rFonts w:eastAsia="Arial Unicode MS"/>
        </w:rPr>
        <w:tab/>
      </w:r>
      <w:r w:rsidRPr="004C18E2">
        <w:rPr>
          <w:rFonts w:eastAsia="Arial Unicode MS"/>
        </w:rPr>
        <w:t>Le Comité consultatif guidera la sélection des sujets et des auteurs des synopsis. Une liste préliminaire des thèmes pertinents pour chaque résultat de la Décennie, qui servira à définir les sujets des différents synopsis, est fournie à l’annexe 3. Ces thèmes reposent sur l’examen par les États membres et sur l’édition pilote du Rapport. Pour des questions de concision, chaque synopsis fera au plus deux pages (figures et bibliographie comprises).</w:t>
      </w:r>
    </w:p>
    <w:p w14:paraId="66AA71D3" w14:textId="074FD6D4" w:rsidR="004C18E2" w:rsidRPr="004C18E2" w:rsidRDefault="004C18E2" w:rsidP="004C18E2">
      <w:pPr>
        <w:pStyle w:val="Marge"/>
        <w:rPr>
          <w:rFonts w:eastAsia="Arial Unicode MS"/>
        </w:rPr>
      </w:pPr>
      <w:r>
        <w:rPr>
          <w:rFonts w:eastAsia="Arial Unicode MS"/>
        </w:rPr>
        <w:lastRenderedPageBreak/>
        <w:t>14.</w:t>
      </w:r>
      <w:r>
        <w:rPr>
          <w:rFonts w:eastAsia="Arial Unicode MS"/>
        </w:rPr>
        <w:tab/>
      </w:r>
      <w:r w:rsidRPr="004C18E2">
        <w:rPr>
          <w:rFonts w:eastAsia="Arial Unicode MS"/>
        </w:rPr>
        <w:t>À l’image de la partie principale du Rapport, un résumé de deux à trois pages sera organisé autour des sept résultats de la Décennie et inséré avant le corps du texte afin d’illustrer les principales constatations mises en évidence par les synopsis.</w:t>
      </w:r>
    </w:p>
    <w:p w14:paraId="33DD9A8C" w14:textId="790B9885" w:rsidR="004C18E2" w:rsidRPr="004C18E2" w:rsidRDefault="004C18E2" w:rsidP="004C18E2">
      <w:pPr>
        <w:pStyle w:val="Marge"/>
        <w:rPr>
          <w:rFonts w:eastAsia="Arial Unicode MS"/>
          <w:lang w:val="en-GB"/>
        </w:rPr>
      </w:pPr>
      <w:r>
        <w:rPr>
          <w:rFonts w:eastAsia="Arial Unicode MS"/>
        </w:rPr>
        <w:t>15.</w:t>
      </w:r>
      <w:r>
        <w:rPr>
          <w:rFonts w:eastAsia="Arial Unicode MS"/>
        </w:rPr>
        <w:tab/>
      </w:r>
      <w:r w:rsidRPr="004C18E2">
        <w:rPr>
          <w:rFonts w:eastAsia="Arial Unicode MS"/>
        </w:rPr>
        <w:t>Les auteurs de chaque synopsis doivent fournir des figures et des graphiques faciles à comprendre pour un lectorat profane. Ils sont invités à suivre le modèle de synopsis (annexe 4) qui donne des indications sur le contenu et le format. Chaque synopsis sera organisé comme suit : une brève introduction du sujet traité, un exposé de l’état actuel des connaissances et une conclusion, ainsi qu’une description des prochaines étapes nécessaires pour que le résultat de la Décennie correspondant soit atteint dans le domaine abordé.</w:t>
      </w:r>
    </w:p>
    <w:p w14:paraId="577EC01B" w14:textId="29BDF059" w:rsidR="004C18E2" w:rsidRPr="004C18E2" w:rsidRDefault="004C18E2" w:rsidP="004C18E2">
      <w:pPr>
        <w:pStyle w:val="Marge"/>
        <w:rPr>
          <w:rFonts w:eastAsia="Arial Unicode MS"/>
          <w:lang w:val="en-GB"/>
        </w:rPr>
      </w:pPr>
      <w:r>
        <w:rPr>
          <w:rFonts w:eastAsia="Arial Unicode MS"/>
        </w:rPr>
        <w:t>16.</w:t>
      </w:r>
      <w:r>
        <w:rPr>
          <w:rFonts w:eastAsia="Arial Unicode MS"/>
        </w:rPr>
        <w:tab/>
      </w:r>
      <w:r w:rsidRPr="004C18E2">
        <w:rPr>
          <w:rFonts w:eastAsia="Arial Unicode MS"/>
        </w:rPr>
        <w:t>Un calendrier prévisionnel de production pour l’édition 2024 guide les préparatifs (annexe 5).</w:t>
      </w:r>
    </w:p>
    <w:p w14:paraId="349C9E15" w14:textId="77777777" w:rsidR="004C18E2" w:rsidRPr="004C18E2" w:rsidRDefault="004C18E2" w:rsidP="004C18E2">
      <w:pPr>
        <w:pStyle w:val="Titre3"/>
        <w:rPr>
          <w:rFonts w:eastAsia="Arial Unicode MS"/>
          <w:lang w:val="en-GB"/>
        </w:rPr>
      </w:pPr>
      <w:r w:rsidRPr="004C18E2">
        <w:rPr>
          <w:rFonts w:eastAsia="Arial Unicode MS"/>
        </w:rPr>
        <w:t>Incidences financières et administratives</w:t>
      </w:r>
    </w:p>
    <w:p w14:paraId="77695009" w14:textId="7B226BA5" w:rsidR="004C18E2" w:rsidRPr="004C18E2" w:rsidRDefault="004C18E2" w:rsidP="004C18E2">
      <w:pPr>
        <w:pStyle w:val="Marge"/>
        <w:rPr>
          <w:rFonts w:eastAsia="Arial Unicode MS"/>
          <w:lang w:val="en-GB"/>
        </w:rPr>
      </w:pPr>
      <w:r>
        <w:rPr>
          <w:rFonts w:eastAsia="Arial Unicode MS"/>
        </w:rPr>
        <w:t>17.</w:t>
      </w:r>
      <w:r>
        <w:rPr>
          <w:rFonts w:eastAsia="Arial Unicode MS"/>
        </w:rPr>
        <w:tab/>
      </w:r>
      <w:r w:rsidRPr="004C18E2">
        <w:rPr>
          <w:rFonts w:eastAsia="Arial Unicode MS"/>
        </w:rPr>
        <w:t>Le Rapport fait partie des activités menées dans le cadre de la Fonction D de la COI : « Soutenir l’évaluation et l’information pour améliorer l’interface entre science et politiques ». Les crédits alloués au titre du budget ordinaire sont insuffisants pour produire le Rapport (plan de travail n° 802 du budget ordinaire : Suivi des ODD, Évaluation mondiale des océans et rapport sur l’état de l’océan).</w:t>
      </w:r>
    </w:p>
    <w:p w14:paraId="1E306341" w14:textId="6B0EB749" w:rsidR="004C18E2" w:rsidRPr="004C18E2" w:rsidRDefault="004C18E2" w:rsidP="004C18E2">
      <w:pPr>
        <w:pStyle w:val="Marge"/>
        <w:rPr>
          <w:rFonts w:eastAsia="Arial Unicode MS"/>
          <w:lang w:val="en-GB"/>
        </w:rPr>
      </w:pPr>
      <w:r>
        <w:rPr>
          <w:rFonts w:eastAsia="Arial Unicode MS"/>
        </w:rPr>
        <w:t>18.</w:t>
      </w:r>
      <w:r>
        <w:rPr>
          <w:rFonts w:eastAsia="Arial Unicode MS"/>
        </w:rPr>
        <w:tab/>
      </w:r>
      <w:r w:rsidRPr="004C18E2">
        <w:rPr>
          <w:rFonts w:eastAsia="Arial Unicode MS"/>
        </w:rPr>
        <w:t>La publication d’un Rapport biennal nécessitera un soutien humain et financier de la part des États membres de la COI afin de financer la coordination au niveau du Secrétariat de la COI, le travail éditorial, la traduction, la mise en page, le graphisme, l’impression et la communication.</w:t>
      </w:r>
    </w:p>
    <w:p w14:paraId="6603E5AE" w14:textId="77777777" w:rsidR="002F6207" w:rsidRDefault="002F6207" w:rsidP="004C18E2">
      <w:pPr>
        <w:tabs>
          <w:tab w:val="clear" w:pos="567"/>
          <w:tab w:val="left" w:pos="-737"/>
        </w:tabs>
        <w:spacing w:after="240"/>
        <w:ind w:left="567" w:hanging="567"/>
        <w:jc w:val="both"/>
        <w:rPr>
          <w:rFonts w:eastAsia="Times New Roman"/>
          <w:lang w:val="en-GB" w:eastAsia="en-US"/>
        </w:rPr>
        <w:sectPr w:rsidR="002F6207" w:rsidSect="003F7186">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418" w:right="1134" w:bottom="1134" w:left="1134" w:header="709" w:footer="680" w:gutter="0"/>
          <w:pgNumType w:start="1"/>
          <w:cols w:space="708"/>
          <w:titlePg/>
          <w:docGrid w:linePitch="360"/>
        </w:sectPr>
      </w:pPr>
    </w:p>
    <w:p w14:paraId="15285CF5" w14:textId="77777777" w:rsidR="004C18E2" w:rsidRPr="004C18E2" w:rsidRDefault="004C18E2" w:rsidP="004C18E2">
      <w:pPr>
        <w:keepNext/>
        <w:spacing w:after="240"/>
        <w:outlineLvl w:val="2"/>
        <w:rPr>
          <w:rFonts w:eastAsia="Arial Unicode MS"/>
          <w:b/>
          <w:bCs/>
          <w:szCs w:val="22"/>
          <w:lang w:val="en-GB" w:eastAsia="en-US"/>
        </w:rPr>
      </w:pPr>
      <w:r w:rsidRPr="004C18E2">
        <w:rPr>
          <w:rFonts w:eastAsia="Arial Unicode MS"/>
          <w:b/>
          <w:bCs/>
          <w:szCs w:val="22"/>
          <w:lang w:val="en-GB" w:eastAsia="en-US"/>
        </w:rPr>
        <w:t xml:space="preserve">ANNEX 1: </w:t>
      </w:r>
      <w:r w:rsidRPr="004C18E2">
        <w:rPr>
          <w:rFonts w:eastAsia="Arial Unicode MS"/>
          <w:b/>
          <w:bCs/>
          <w:szCs w:val="22"/>
          <w:lang w:val="en-US" w:eastAsia="en-US"/>
        </w:rPr>
        <w:t>Summary of StOR Member State review</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6734"/>
      </w:tblGrid>
      <w:tr w:rsidR="004C18E2" w:rsidRPr="004C18E2" w14:paraId="4DB8C4CA" w14:textId="77777777" w:rsidTr="00F807C5">
        <w:trPr>
          <w:tblHeader/>
        </w:trPr>
        <w:tc>
          <w:tcPr>
            <w:tcW w:w="2895" w:type="dxa"/>
            <w:shd w:val="clear" w:color="auto" w:fill="9FC5E8"/>
            <w:tcMar>
              <w:top w:w="100" w:type="dxa"/>
              <w:left w:w="100" w:type="dxa"/>
              <w:bottom w:w="100" w:type="dxa"/>
              <w:right w:w="100" w:type="dxa"/>
            </w:tcMar>
          </w:tcPr>
          <w:p w14:paraId="4882D222" w14:textId="77777777" w:rsidR="004C18E2" w:rsidRPr="004C18E2" w:rsidRDefault="004C18E2" w:rsidP="004C18E2">
            <w:pPr>
              <w:widowControl w:val="0"/>
              <w:rPr>
                <w:rFonts w:eastAsia="Times New Roman" w:cs="Arial"/>
                <w:b/>
                <w:lang w:val="en-GB" w:eastAsia="en-US"/>
              </w:rPr>
            </w:pPr>
            <w:r w:rsidRPr="004C18E2">
              <w:rPr>
                <w:rFonts w:eastAsia="Times New Roman" w:cs="Arial"/>
                <w:b/>
                <w:lang w:val="en-GB" w:eastAsia="en-US"/>
              </w:rPr>
              <w:t>Category</w:t>
            </w:r>
          </w:p>
        </w:tc>
        <w:tc>
          <w:tcPr>
            <w:tcW w:w="6734" w:type="dxa"/>
            <w:shd w:val="clear" w:color="auto" w:fill="9FC5E8"/>
            <w:tcMar>
              <w:top w:w="100" w:type="dxa"/>
              <w:left w:w="100" w:type="dxa"/>
              <w:bottom w:w="100" w:type="dxa"/>
              <w:right w:w="100" w:type="dxa"/>
            </w:tcMar>
          </w:tcPr>
          <w:p w14:paraId="5DC445DB" w14:textId="77777777" w:rsidR="004C18E2" w:rsidRPr="004C18E2" w:rsidRDefault="004C18E2" w:rsidP="004C18E2">
            <w:pPr>
              <w:widowControl w:val="0"/>
              <w:rPr>
                <w:rFonts w:eastAsia="Times New Roman" w:cs="Arial"/>
                <w:b/>
                <w:lang w:val="en-GB" w:eastAsia="en-US"/>
              </w:rPr>
            </w:pPr>
            <w:r w:rsidRPr="004C18E2">
              <w:rPr>
                <w:rFonts w:eastAsia="Times New Roman" w:cs="Arial"/>
                <w:b/>
                <w:lang w:val="en-GB" w:eastAsia="en-US"/>
              </w:rPr>
              <w:t>Comment</w:t>
            </w:r>
          </w:p>
        </w:tc>
      </w:tr>
      <w:tr w:rsidR="004C18E2" w:rsidRPr="004C18E2" w14:paraId="2F6DB04E" w14:textId="77777777" w:rsidTr="00F807C5">
        <w:tc>
          <w:tcPr>
            <w:tcW w:w="2895" w:type="dxa"/>
            <w:shd w:val="clear" w:color="auto" w:fill="9FC5E8"/>
            <w:tcMar>
              <w:top w:w="100" w:type="dxa"/>
              <w:left w:w="100" w:type="dxa"/>
              <w:bottom w:w="100" w:type="dxa"/>
              <w:right w:w="100" w:type="dxa"/>
            </w:tcMar>
          </w:tcPr>
          <w:p w14:paraId="4462583E" w14:textId="77777777" w:rsidR="004C18E2" w:rsidRPr="004C18E2" w:rsidRDefault="004C18E2" w:rsidP="004C18E2">
            <w:pPr>
              <w:widowControl w:val="0"/>
              <w:rPr>
                <w:rFonts w:eastAsia="Times New Roman" w:cs="Arial"/>
                <w:i/>
                <w:lang w:val="en-GB" w:eastAsia="en-US"/>
              </w:rPr>
            </w:pPr>
            <w:r w:rsidRPr="004C18E2">
              <w:rPr>
                <w:rFonts w:eastAsia="Times New Roman" w:cs="Arial"/>
                <w:i/>
                <w:lang w:val="en-GB" w:eastAsia="en-US"/>
              </w:rPr>
              <w:t>Scope of the report</w:t>
            </w:r>
          </w:p>
        </w:tc>
        <w:tc>
          <w:tcPr>
            <w:tcW w:w="6734" w:type="dxa"/>
            <w:shd w:val="clear" w:color="auto" w:fill="9FC5E8"/>
            <w:tcMar>
              <w:top w:w="100" w:type="dxa"/>
              <w:left w:w="100" w:type="dxa"/>
              <w:bottom w:w="100" w:type="dxa"/>
              <w:right w:w="100" w:type="dxa"/>
            </w:tcMar>
          </w:tcPr>
          <w:p w14:paraId="0BE01AB8" w14:textId="77777777" w:rsidR="004C18E2" w:rsidRPr="004C18E2" w:rsidRDefault="004C18E2" w:rsidP="004C18E2">
            <w:pPr>
              <w:widowControl w:val="0"/>
              <w:rPr>
                <w:rFonts w:eastAsia="Times New Roman" w:cs="Arial"/>
                <w:lang w:val="en-GB" w:eastAsia="en-US"/>
              </w:rPr>
            </w:pPr>
          </w:p>
        </w:tc>
      </w:tr>
      <w:tr w:rsidR="004C18E2" w:rsidRPr="004C18E2" w14:paraId="493C0C2C" w14:textId="77777777" w:rsidTr="00F807C5">
        <w:tc>
          <w:tcPr>
            <w:tcW w:w="2895" w:type="dxa"/>
            <w:shd w:val="clear" w:color="auto" w:fill="auto"/>
            <w:tcMar>
              <w:top w:w="100" w:type="dxa"/>
              <w:left w:w="100" w:type="dxa"/>
              <w:bottom w:w="100" w:type="dxa"/>
              <w:right w:w="100" w:type="dxa"/>
            </w:tcMar>
          </w:tcPr>
          <w:p w14:paraId="1E11614D" w14:textId="77777777" w:rsidR="004C18E2" w:rsidRPr="004C18E2" w:rsidRDefault="004C18E2" w:rsidP="004C18E2">
            <w:pPr>
              <w:widowControl w:val="0"/>
              <w:rPr>
                <w:rFonts w:eastAsia="Times New Roman" w:cs="Arial"/>
                <w:lang w:val="en-GB" w:eastAsia="en-US"/>
              </w:rPr>
            </w:pPr>
            <w:r w:rsidRPr="004C18E2">
              <w:rPr>
                <w:rFonts w:eastAsia="Times New Roman" w:cs="Arial"/>
                <w:lang w:val="en-GB" w:eastAsia="en-US"/>
              </w:rPr>
              <w:t>Please advise how to improve the template in terms of format, length, inclusion of figures etc.</w:t>
            </w:r>
          </w:p>
        </w:tc>
        <w:tc>
          <w:tcPr>
            <w:tcW w:w="6734" w:type="dxa"/>
            <w:shd w:val="clear" w:color="auto" w:fill="auto"/>
            <w:tcMar>
              <w:top w:w="100" w:type="dxa"/>
              <w:left w:w="100" w:type="dxa"/>
              <w:bottom w:w="100" w:type="dxa"/>
              <w:right w:w="100" w:type="dxa"/>
            </w:tcMar>
          </w:tcPr>
          <w:p w14:paraId="1BCE8CF5"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Document needs to be shortened, potentially reduce to a subset of challenges</w:t>
            </w:r>
          </w:p>
          <w:p w14:paraId="5E025F81" w14:textId="77777777" w:rsidR="004C18E2" w:rsidRPr="004C18E2" w:rsidRDefault="004C18E2" w:rsidP="004C18E2">
            <w:pPr>
              <w:widowControl w:val="0"/>
              <w:numPr>
                <w:ilvl w:val="0"/>
                <w:numId w:val="45"/>
              </w:numPr>
              <w:tabs>
                <w:tab w:val="clear" w:pos="567"/>
              </w:tabs>
              <w:snapToGrid/>
              <w:ind w:left="450"/>
              <w:rPr>
                <w:rFonts w:eastAsia="Times New Roman" w:cs="Arial"/>
                <w:lang w:eastAsia="en-US"/>
              </w:rPr>
            </w:pPr>
            <w:r w:rsidRPr="004C18E2">
              <w:rPr>
                <w:rFonts w:eastAsia="Times New Roman" w:cs="Arial"/>
                <w:lang w:eastAsia="en-US"/>
              </w:rPr>
              <w:t>Focus on quantitative information, where possible</w:t>
            </w:r>
          </w:p>
          <w:p w14:paraId="1C16C32A"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Recommended use of high resolution infographics, potentially videos</w:t>
            </w:r>
          </w:p>
          <w:p w14:paraId="3049D9EE"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Depending on length include short summary in the beginning or end</w:t>
            </w:r>
          </w:p>
          <w:p w14:paraId="1C3A57BB"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Improve online access not only pdf and hard copy</w:t>
            </w:r>
          </w:p>
          <w:p w14:paraId="0544535D"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Identification of the audience should be clear.</w:t>
            </w:r>
          </w:p>
          <w:p w14:paraId="293ED3A1"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Language should be understandable by non-scientists</w:t>
            </w:r>
          </w:p>
          <w:p w14:paraId="6A498DD8"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Template to be improved, by instructing to have the key take-home message(s) as few short sentences or bullet points for each storyline, also provide instruction for minimum/maximum</w:t>
            </w:r>
          </w:p>
          <w:p w14:paraId="22D386D0"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Structure could be as follows: (1) Current stage of knowledge; (2) Knowledge gaps; (3) Recommendations on how these gaps could be closed.</w:t>
            </w:r>
          </w:p>
          <w:p w14:paraId="27E7B042"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Some Member States recommended to focus on global changes, while others recommended to include regional case studies</w:t>
            </w:r>
          </w:p>
          <w:p w14:paraId="7E618D85"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Provide guidance on number of references</w:t>
            </w:r>
          </w:p>
          <w:p w14:paraId="7F7F1455" w14:textId="77777777" w:rsidR="004C18E2" w:rsidRPr="004C18E2" w:rsidRDefault="004C18E2" w:rsidP="004C18E2">
            <w:pPr>
              <w:widowControl w:val="0"/>
              <w:rPr>
                <w:rFonts w:eastAsia="Times New Roman" w:cs="Arial"/>
                <w:lang w:val="en-GB" w:eastAsia="en-US"/>
              </w:rPr>
            </w:pPr>
          </w:p>
        </w:tc>
      </w:tr>
      <w:tr w:rsidR="004C18E2" w:rsidRPr="004C18E2" w14:paraId="27D677E7" w14:textId="77777777" w:rsidTr="00F807C5">
        <w:tc>
          <w:tcPr>
            <w:tcW w:w="2895" w:type="dxa"/>
            <w:shd w:val="clear" w:color="auto" w:fill="auto"/>
            <w:tcMar>
              <w:top w:w="100" w:type="dxa"/>
              <w:left w:w="100" w:type="dxa"/>
              <w:bottom w:w="100" w:type="dxa"/>
              <w:right w:w="100" w:type="dxa"/>
            </w:tcMar>
          </w:tcPr>
          <w:p w14:paraId="1FABC13D" w14:textId="77777777" w:rsidR="004C18E2" w:rsidRPr="004C18E2" w:rsidRDefault="004C18E2" w:rsidP="004C18E2">
            <w:pPr>
              <w:widowControl w:val="0"/>
              <w:rPr>
                <w:rFonts w:eastAsia="Times New Roman" w:cs="Arial"/>
                <w:lang w:val="en-GB" w:eastAsia="en-US"/>
              </w:rPr>
            </w:pPr>
            <w:r w:rsidRPr="004C18E2">
              <w:rPr>
                <w:rFonts w:eastAsia="Times New Roman" w:cs="Arial"/>
                <w:lang w:val="en-GB" w:eastAsia="en-US"/>
              </w:rPr>
              <w:t>Advise on the relevance of the existing storylines</w:t>
            </w:r>
          </w:p>
        </w:tc>
        <w:tc>
          <w:tcPr>
            <w:tcW w:w="6734" w:type="dxa"/>
            <w:shd w:val="clear" w:color="auto" w:fill="auto"/>
            <w:tcMar>
              <w:top w:w="100" w:type="dxa"/>
              <w:left w:w="100" w:type="dxa"/>
              <w:bottom w:w="100" w:type="dxa"/>
              <w:right w:w="100" w:type="dxa"/>
            </w:tcMar>
          </w:tcPr>
          <w:p w14:paraId="1B20FF0E"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Future editions of the StOR could consider placing a greater emphasis on how science is informing solutions that can be implemented by people. In particular, the role of First Nations peoples, local communities and local industries that are reliant on a healthy ocean are important to highlight in future reporting.</w:t>
            </w:r>
          </w:p>
          <w:p w14:paraId="5BE570E9"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Same number of storylines for each challenge</w:t>
            </w:r>
          </w:p>
          <w:p w14:paraId="0C2976A9"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Identification of the key indicators for different challenges is needed and they should be highlighted in the report</w:t>
            </w:r>
          </w:p>
          <w:p w14:paraId="2DB9E6F8"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The focus on status not enabling framework</w:t>
            </w:r>
          </w:p>
          <w:p w14:paraId="4FDE8D10" w14:textId="77777777" w:rsidR="004C18E2" w:rsidRPr="004C18E2" w:rsidRDefault="004C18E2" w:rsidP="004C18E2">
            <w:pPr>
              <w:widowControl w:val="0"/>
              <w:rPr>
                <w:rFonts w:eastAsia="Times New Roman" w:cs="Arial"/>
                <w:lang w:val="en-GB" w:eastAsia="en-US"/>
              </w:rPr>
            </w:pPr>
          </w:p>
        </w:tc>
      </w:tr>
      <w:tr w:rsidR="004C18E2" w:rsidRPr="004C18E2" w14:paraId="224CD2CB" w14:textId="77777777" w:rsidTr="00F807C5">
        <w:tc>
          <w:tcPr>
            <w:tcW w:w="2895" w:type="dxa"/>
            <w:shd w:val="clear" w:color="auto" w:fill="auto"/>
            <w:tcMar>
              <w:top w:w="100" w:type="dxa"/>
              <w:left w:w="100" w:type="dxa"/>
              <w:bottom w:w="100" w:type="dxa"/>
              <w:right w:w="100" w:type="dxa"/>
            </w:tcMar>
          </w:tcPr>
          <w:p w14:paraId="69C2B1A1" w14:textId="77777777" w:rsidR="004C18E2" w:rsidRPr="004C18E2" w:rsidRDefault="004C18E2" w:rsidP="004C18E2">
            <w:pPr>
              <w:widowControl w:val="0"/>
              <w:rPr>
                <w:rFonts w:eastAsia="Times New Roman" w:cs="Arial"/>
                <w:lang w:val="en-GB" w:eastAsia="en-US"/>
              </w:rPr>
            </w:pPr>
            <w:r w:rsidRPr="004C18E2">
              <w:rPr>
                <w:rFonts w:eastAsia="Times New Roman" w:cs="Arial"/>
                <w:lang w:val="en-GB" w:eastAsia="en-US"/>
              </w:rPr>
              <w:t>Propose how to improve the currently used indicators and benchmarks</w:t>
            </w:r>
          </w:p>
        </w:tc>
        <w:tc>
          <w:tcPr>
            <w:tcW w:w="6734" w:type="dxa"/>
            <w:shd w:val="clear" w:color="auto" w:fill="auto"/>
            <w:tcMar>
              <w:top w:w="100" w:type="dxa"/>
              <w:left w:w="100" w:type="dxa"/>
              <w:bottom w:w="100" w:type="dxa"/>
              <w:right w:w="100" w:type="dxa"/>
            </w:tcMar>
          </w:tcPr>
          <w:p w14:paraId="6D257016"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No need to define new indicators and goals, rather specify the state of the ocean at the moment, in terms of well-defined variables or parameters.</w:t>
            </w:r>
          </w:p>
          <w:p w14:paraId="5049ECD5"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Each information concerning the state of the ocean is relevant, however the report should highlight the issues  most relevant for a large audience</w:t>
            </w:r>
          </w:p>
          <w:p w14:paraId="3F0F967F"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The pilot edition of the StOR is structured along the Decade Challenges. This should be maintained, whereby the direct reference to the Decade is taken up/continued.</w:t>
            </w:r>
          </w:p>
          <w:p w14:paraId="540D6E49" w14:textId="77777777" w:rsidR="004C18E2" w:rsidRPr="004C18E2" w:rsidRDefault="004C18E2" w:rsidP="004C18E2">
            <w:pPr>
              <w:widowControl w:val="0"/>
              <w:rPr>
                <w:rFonts w:eastAsia="Times New Roman" w:cs="Arial"/>
                <w:lang w:val="en-GB" w:eastAsia="en-US"/>
              </w:rPr>
            </w:pPr>
          </w:p>
        </w:tc>
      </w:tr>
      <w:tr w:rsidR="004C18E2" w:rsidRPr="004C18E2" w14:paraId="7EDD13DC" w14:textId="77777777" w:rsidTr="00F807C5">
        <w:tc>
          <w:tcPr>
            <w:tcW w:w="2895" w:type="dxa"/>
            <w:shd w:val="clear" w:color="auto" w:fill="auto"/>
            <w:tcMar>
              <w:top w:w="100" w:type="dxa"/>
              <w:left w:w="100" w:type="dxa"/>
              <w:bottom w:w="100" w:type="dxa"/>
              <w:right w:w="100" w:type="dxa"/>
            </w:tcMar>
          </w:tcPr>
          <w:p w14:paraId="783F7B47" w14:textId="77777777" w:rsidR="004C18E2" w:rsidRPr="004C18E2" w:rsidRDefault="004C18E2" w:rsidP="004C18E2">
            <w:pPr>
              <w:widowControl w:val="0"/>
              <w:spacing w:before="120"/>
              <w:rPr>
                <w:rFonts w:eastAsia="Times New Roman" w:cs="Arial"/>
                <w:lang w:val="en-GB" w:eastAsia="en-US"/>
              </w:rPr>
            </w:pPr>
            <w:r w:rsidRPr="004C18E2">
              <w:rPr>
                <w:rFonts w:eastAsia="Times New Roman" w:cs="Arial"/>
                <w:lang w:val="en-GB" w:eastAsia="en-US"/>
              </w:rPr>
              <w:t>Advise on how to identify new potential indicators.</w:t>
            </w:r>
          </w:p>
        </w:tc>
        <w:tc>
          <w:tcPr>
            <w:tcW w:w="6734" w:type="dxa"/>
            <w:shd w:val="clear" w:color="auto" w:fill="auto"/>
            <w:tcMar>
              <w:top w:w="100" w:type="dxa"/>
              <w:left w:w="100" w:type="dxa"/>
              <w:bottom w:w="100" w:type="dxa"/>
              <w:right w:w="100" w:type="dxa"/>
            </w:tcMar>
          </w:tcPr>
          <w:p w14:paraId="36694236"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The StOR should not aim to identify new indicators, but rather new parameters that allow us to give the most complete vision of the state of the ocean.</w:t>
            </w:r>
          </w:p>
          <w:p w14:paraId="7F1DEF59"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Should be aligned with the Ocean Decade process</w:t>
            </w:r>
          </w:p>
          <w:p w14:paraId="3A743274"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 xml:space="preserve">The report could include social indicators to show how people </w:t>
            </w:r>
            <w:r w:rsidRPr="004C18E2">
              <w:rPr>
                <w:rFonts w:eastAsia="Times New Roman" w:cs="Arial"/>
                <w:lang w:val="en-GB" w:eastAsia="en-US"/>
              </w:rPr>
              <w:lastRenderedPageBreak/>
              <w:t>perceive and/or understand phenomena that occur on a day-to-day basis.</w:t>
            </w:r>
          </w:p>
          <w:p w14:paraId="16C04F34"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Reports of state of the sea/ocean for marginal and coastal seas could be consulted and considered to identify relevant parameters.</w:t>
            </w:r>
          </w:p>
          <w:p w14:paraId="6AAB472B"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Potentially add to each challenge, number of programmes, projects contributing to it.</w:t>
            </w:r>
          </w:p>
          <w:p w14:paraId="47D62F30"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The StOR could include information on ship-originated pollution, oil spill modelling, marine traffic information.</w:t>
            </w:r>
          </w:p>
        </w:tc>
      </w:tr>
      <w:tr w:rsidR="004C18E2" w:rsidRPr="004C18E2" w14:paraId="0E3E9EAE" w14:textId="77777777" w:rsidTr="00F807C5">
        <w:tc>
          <w:tcPr>
            <w:tcW w:w="2895" w:type="dxa"/>
            <w:shd w:val="clear" w:color="auto" w:fill="9FC5E8"/>
            <w:tcMar>
              <w:top w:w="100" w:type="dxa"/>
              <w:left w:w="100" w:type="dxa"/>
              <w:bottom w:w="100" w:type="dxa"/>
              <w:right w:w="100" w:type="dxa"/>
            </w:tcMar>
          </w:tcPr>
          <w:p w14:paraId="024FCD72" w14:textId="77777777" w:rsidR="004C18E2" w:rsidRPr="004C18E2" w:rsidRDefault="004C18E2" w:rsidP="004C18E2">
            <w:pPr>
              <w:widowControl w:val="0"/>
              <w:rPr>
                <w:rFonts w:eastAsia="Times New Roman" w:cs="Arial"/>
                <w:i/>
                <w:lang w:val="en-GB" w:eastAsia="en-US"/>
              </w:rPr>
            </w:pPr>
            <w:r w:rsidRPr="004C18E2">
              <w:rPr>
                <w:rFonts w:eastAsia="Times New Roman" w:cs="Arial"/>
                <w:i/>
                <w:lang w:val="en-GB" w:eastAsia="en-US"/>
              </w:rPr>
              <w:lastRenderedPageBreak/>
              <w:t>Frequency of the report</w:t>
            </w:r>
          </w:p>
        </w:tc>
        <w:tc>
          <w:tcPr>
            <w:tcW w:w="6734" w:type="dxa"/>
            <w:shd w:val="clear" w:color="auto" w:fill="9FC5E8"/>
            <w:tcMar>
              <w:top w:w="100" w:type="dxa"/>
              <w:left w:w="100" w:type="dxa"/>
              <w:bottom w:w="100" w:type="dxa"/>
              <w:right w:w="100" w:type="dxa"/>
            </w:tcMar>
          </w:tcPr>
          <w:p w14:paraId="4A893EE4" w14:textId="77777777" w:rsidR="004C18E2" w:rsidRPr="004C18E2" w:rsidRDefault="004C18E2" w:rsidP="004C18E2">
            <w:pPr>
              <w:widowControl w:val="0"/>
              <w:rPr>
                <w:rFonts w:eastAsia="Times New Roman" w:cs="Arial"/>
                <w:lang w:val="en-GB" w:eastAsia="en-US"/>
              </w:rPr>
            </w:pPr>
          </w:p>
        </w:tc>
      </w:tr>
      <w:tr w:rsidR="004C18E2" w:rsidRPr="004C18E2" w14:paraId="1BDBF7B1" w14:textId="77777777" w:rsidTr="00F807C5">
        <w:tc>
          <w:tcPr>
            <w:tcW w:w="2895" w:type="dxa"/>
            <w:shd w:val="clear" w:color="auto" w:fill="auto"/>
            <w:tcMar>
              <w:top w:w="100" w:type="dxa"/>
              <w:left w:w="100" w:type="dxa"/>
              <w:bottom w:w="100" w:type="dxa"/>
              <w:right w:w="100" w:type="dxa"/>
            </w:tcMar>
          </w:tcPr>
          <w:p w14:paraId="135A2845" w14:textId="77777777" w:rsidR="004C18E2" w:rsidRPr="004C18E2" w:rsidRDefault="004C18E2" w:rsidP="004C18E2">
            <w:pPr>
              <w:widowControl w:val="0"/>
              <w:rPr>
                <w:rFonts w:eastAsia="Times New Roman" w:cs="Arial"/>
                <w:lang w:val="en-GB" w:eastAsia="en-US"/>
              </w:rPr>
            </w:pPr>
            <w:r w:rsidRPr="004C18E2">
              <w:rPr>
                <w:rFonts w:eastAsia="Times New Roman" w:cs="Arial"/>
                <w:lang w:val="en-GB" w:eastAsia="en-US"/>
              </w:rPr>
              <w:t>How often should the StOR be published?</w:t>
            </w:r>
          </w:p>
        </w:tc>
        <w:tc>
          <w:tcPr>
            <w:tcW w:w="6734" w:type="dxa"/>
            <w:shd w:val="clear" w:color="auto" w:fill="auto"/>
            <w:tcMar>
              <w:top w:w="100" w:type="dxa"/>
              <w:left w:w="100" w:type="dxa"/>
              <w:bottom w:w="100" w:type="dxa"/>
              <w:right w:w="100" w:type="dxa"/>
            </w:tcMar>
          </w:tcPr>
          <w:p w14:paraId="04C7953E"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7 countries annually, 8 biennially</w:t>
            </w:r>
          </w:p>
          <w:p w14:paraId="77B52B82"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It will require 2-3 years to measure progress within the storylines</w:t>
            </w:r>
          </w:p>
          <w:p w14:paraId="7C531F12" w14:textId="77777777" w:rsidR="004C18E2" w:rsidRPr="004C18E2" w:rsidRDefault="004C18E2" w:rsidP="004C18E2">
            <w:pPr>
              <w:widowControl w:val="0"/>
              <w:rPr>
                <w:rFonts w:eastAsia="Times New Roman" w:cs="Arial"/>
                <w:lang w:val="en-GB" w:eastAsia="en-US"/>
              </w:rPr>
            </w:pPr>
          </w:p>
        </w:tc>
      </w:tr>
      <w:tr w:rsidR="004C18E2" w:rsidRPr="004C18E2" w14:paraId="71160779" w14:textId="77777777" w:rsidTr="00F807C5">
        <w:tc>
          <w:tcPr>
            <w:tcW w:w="2895" w:type="dxa"/>
            <w:shd w:val="clear" w:color="auto" w:fill="9FC5E8"/>
            <w:tcMar>
              <w:top w:w="100" w:type="dxa"/>
              <w:left w:w="100" w:type="dxa"/>
              <w:bottom w:w="100" w:type="dxa"/>
              <w:right w:w="100" w:type="dxa"/>
            </w:tcMar>
          </w:tcPr>
          <w:p w14:paraId="60BA0868"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Additional comments</w:t>
            </w:r>
          </w:p>
        </w:tc>
        <w:tc>
          <w:tcPr>
            <w:tcW w:w="6734" w:type="dxa"/>
            <w:shd w:val="clear" w:color="auto" w:fill="9FC5E8"/>
            <w:tcMar>
              <w:top w:w="100" w:type="dxa"/>
              <w:left w:w="100" w:type="dxa"/>
              <w:bottom w:w="100" w:type="dxa"/>
              <w:right w:w="100" w:type="dxa"/>
            </w:tcMar>
          </w:tcPr>
          <w:p w14:paraId="5BE16614"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p>
        </w:tc>
      </w:tr>
      <w:tr w:rsidR="004C18E2" w:rsidRPr="004C18E2" w14:paraId="60C954D0" w14:textId="77777777" w:rsidTr="00F807C5">
        <w:tc>
          <w:tcPr>
            <w:tcW w:w="2895" w:type="dxa"/>
            <w:shd w:val="clear" w:color="auto" w:fill="auto"/>
            <w:tcMar>
              <w:top w:w="100" w:type="dxa"/>
              <w:left w:w="100" w:type="dxa"/>
              <w:bottom w:w="100" w:type="dxa"/>
              <w:right w:w="100" w:type="dxa"/>
            </w:tcMar>
          </w:tcPr>
          <w:p w14:paraId="7529909C" w14:textId="77777777" w:rsidR="004C18E2" w:rsidRPr="004C18E2" w:rsidRDefault="004C18E2" w:rsidP="004C18E2">
            <w:pPr>
              <w:widowControl w:val="0"/>
              <w:rPr>
                <w:rFonts w:eastAsia="Times New Roman" w:cs="Arial"/>
                <w:lang w:val="en-GB" w:eastAsia="en-US"/>
              </w:rPr>
            </w:pPr>
            <w:r w:rsidRPr="004C18E2">
              <w:rPr>
                <w:rFonts w:eastAsia="Times New Roman" w:cs="Arial"/>
                <w:lang w:val="en-GB" w:eastAsia="en-US"/>
              </w:rPr>
              <w:t>Please advise on relevant UN Organizations and the information they could provide and to which Decade challenges.</w:t>
            </w:r>
          </w:p>
          <w:p w14:paraId="569DA0FD" w14:textId="77777777" w:rsidR="004C18E2" w:rsidRPr="004C18E2" w:rsidRDefault="004C18E2" w:rsidP="004C18E2">
            <w:pPr>
              <w:widowControl w:val="0"/>
              <w:rPr>
                <w:rFonts w:eastAsia="Times New Roman" w:cs="Arial"/>
                <w:lang w:val="en-GB" w:eastAsia="en-US"/>
              </w:rPr>
            </w:pPr>
          </w:p>
        </w:tc>
        <w:tc>
          <w:tcPr>
            <w:tcW w:w="6734" w:type="dxa"/>
            <w:shd w:val="clear" w:color="auto" w:fill="auto"/>
            <w:tcMar>
              <w:top w:w="100" w:type="dxa"/>
              <w:left w:w="100" w:type="dxa"/>
              <w:bottom w:w="100" w:type="dxa"/>
              <w:right w:w="100" w:type="dxa"/>
            </w:tcMar>
          </w:tcPr>
          <w:p w14:paraId="7835EE89"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Align and discuss with WOA</w:t>
            </w:r>
          </w:p>
          <w:p w14:paraId="480CFBCC"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1: Information on pollution observations and pollution reducing activities: UNEP, Basel Convention Secretariat, GESAMP</w:t>
            </w:r>
          </w:p>
          <w:p w14:paraId="3524AF08"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2: Information on ecosystem observations and ecosystem restoration activities: UN Decade of Ecosystem Restoration – UNEP, FAO, CBD, CMS, Ramsar, WMO, UNDP, UN-Habitat</w:t>
            </w:r>
          </w:p>
          <w:p w14:paraId="5B5B8B4A"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3: Information on ocean food resources and activities: UNCTAD, ESCAP, FAO, ILO, UNDP, UNIDO</w:t>
            </w:r>
          </w:p>
          <w:p w14:paraId="61FB775D"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4: Information on ocean industries and economies: UNDESA, ISA, UNCTAD, ESCAP, FAO, ILO, IMO, UNIDO, IACSD, UNDP, WTO</w:t>
            </w:r>
          </w:p>
          <w:p w14:paraId="071F10B1"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5: Information on climate observations and climate activities: UNFCCC, WMO, IMO, UNIDO, UNCTAD, UNDP</w:t>
            </w:r>
          </w:p>
          <w:p w14:paraId="4DD00AFA"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6: Information on ocean hazards and activities: UNFCCC, WMO, IMO, FAO</w:t>
            </w:r>
          </w:p>
          <w:p w14:paraId="4141E6E5"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7: Information on comprehensive ocean observations including socio-ecological and socio-economic observations: UNFCCC, WMO, IMO, FAO, UNEP , GESAMP, DOALOS, CBD, CMS, SOCA, WTO</w:t>
            </w:r>
          </w:p>
          <w:p w14:paraId="1843C360"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8: Information needed for a digital twin of the ocean: UNFCCC, WMO, IMO, FAO, UNEP GESAMP, DOALOS, CBD, CMS, Ramsar, SOCA, UNIDO, UNCTAD, UNDP</w:t>
            </w:r>
          </w:p>
          <w:p w14:paraId="7AAAE7BA"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9: Information on capacity building activities, knowledge: UNFCCC, WMO, IMO, FAO, UNEP, GESAMP, DOALOS, CBD, CMS, SOCA, UNIDO, UNCTAD, UNDP, UNDESA</w:t>
            </w:r>
          </w:p>
          <w:p w14:paraId="0988D112"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Challenge 10: Information on socio-ecological and socio-economic observations and activities, literacy activities: UNDESA, ISA, UNCTAD, ESCAP, FAO, ILO, IMO, UNIDO, UNFCCC, WMO, FAO, CBD, CMS, UNEP , DOALOS, CITES, GESAMP, SOCA, WTO, UNESCO education, UN-WOMEN</w:t>
            </w:r>
          </w:p>
        </w:tc>
      </w:tr>
      <w:tr w:rsidR="004C18E2" w:rsidRPr="004C18E2" w14:paraId="06ABE1D3" w14:textId="77777777" w:rsidTr="00F807C5">
        <w:tc>
          <w:tcPr>
            <w:tcW w:w="2895" w:type="dxa"/>
            <w:shd w:val="clear" w:color="auto" w:fill="auto"/>
            <w:tcMar>
              <w:top w:w="100" w:type="dxa"/>
              <w:left w:w="100" w:type="dxa"/>
              <w:bottom w:w="100" w:type="dxa"/>
              <w:right w:w="100" w:type="dxa"/>
            </w:tcMar>
          </w:tcPr>
          <w:p w14:paraId="26C78F06" w14:textId="77777777" w:rsidR="004C18E2" w:rsidRPr="004C18E2" w:rsidRDefault="004C18E2" w:rsidP="004C18E2">
            <w:pPr>
              <w:widowControl w:val="0"/>
              <w:rPr>
                <w:rFonts w:eastAsia="Times New Roman" w:cs="Arial"/>
                <w:lang w:val="en-GB" w:eastAsia="en-US"/>
              </w:rPr>
            </w:pPr>
            <w:r w:rsidRPr="004C18E2">
              <w:rPr>
                <w:rFonts w:eastAsia="Times New Roman" w:cs="Arial"/>
                <w:lang w:val="en-GB" w:eastAsia="en-US"/>
              </w:rPr>
              <w:lastRenderedPageBreak/>
              <w:t>Please suggest additional resources to be consulted to support the IOC Secretariat in the preparation of the StOR.</w:t>
            </w:r>
          </w:p>
          <w:p w14:paraId="50C69C64" w14:textId="77777777" w:rsidR="004C18E2" w:rsidRPr="004C18E2" w:rsidRDefault="004C18E2" w:rsidP="004C18E2">
            <w:pPr>
              <w:widowControl w:val="0"/>
              <w:rPr>
                <w:rFonts w:eastAsia="Times New Roman" w:cs="Arial"/>
                <w:lang w:val="en-GB" w:eastAsia="en-US"/>
              </w:rPr>
            </w:pPr>
          </w:p>
        </w:tc>
        <w:tc>
          <w:tcPr>
            <w:tcW w:w="6734" w:type="dxa"/>
            <w:shd w:val="clear" w:color="auto" w:fill="auto"/>
            <w:tcMar>
              <w:top w:w="100" w:type="dxa"/>
              <w:left w:w="100" w:type="dxa"/>
              <w:bottom w:w="100" w:type="dxa"/>
              <w:right w:w="100" w:type="dxa"/>
            </w:tcMar>
          </w:tcPr>
          <w:p w14:paraId="6E6A7F8B"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Member States suggested to consult products of  various UN organizations, NGOs and international organizations such as, International Coral Reef Initiative (ICRI) and its Global Coral Reef Monitoring Network (GCRMN), Ocean High Level Panel, SCAR, WMO statement of the state of the climate.</w:t>
            </w:r>
          </w:p>
        </w:tc>
      </w:tr>
      <w:tr w:rsidR="004C18E2" w:rsidRPr="004C18E2" w14:paraId="4499BE88" w14:textId="77777777" w:rsidTr="00F807C5">
        <w:tc>
          <w:tcPr>
            <w:tcW w:w="2895" w:type="dxa"/>
            <w:shd w:val="clear" w:color="auto" w:fill="auto"/>
            <w:tcMar>
              <w:top w:w="100" w:type="dxa"/>
              <w:left w:w="100" w:type="dxa"/>
              <w:bottom w:w="100" w:type="dxa"/>
              <w:right w:w="100" w:type="dxa"/>
            </w:tcMar>
          </w:tcPr>
          <w:p w14:paraId="0B03058A" w14:textId="77777777" w:rsidR="004C18E2" w:rsidRPr="004C18E2" w:rsidRDefault="004C18E2" w:rsidP="004C18E2">
            <w:pPr>
              <w:widowControl w:val="0"/>
              <w:rPr>
                <w:rFonts w:eastAsia="Times New Roman" w:cs="Arial"/>
                <w:lang w:val="en-GB" w:eastAsia="en-US"/>
              </w:rPr>
            </w:pPr>
            <w:r w:rsidRPr="004C18E2">
              <w:rPr>
                <w:rFonts w:eastAsia="Times New Roman" w:cs="Arial"/>
                <w:lang w:val="en-GB" w:eastAsia="en-US"/>
              </w:rPr>
              <w:t>Please let us know if you have any further advice to improve the next edition of the StOR.</w:t>
            </w:r>
          </w:p>
          <w:p w14:paraId="0DF84738" w14:textId="77777777" w:rsidR="004C18E2" w:rsidRPr="004C18E2" w:rsidRDefault="004C18E2" w:rsidP="004C18E2">
            <w:pPr>
              <w:widowControl w:val="0"/>
              <w:rPr>
                <w:rFonts w:eastAsia="Times New Roman" w:cs="Arial"/>
                <w:lang w:val="en-GB" w:eastAsia="en-US"/>
              </w:rPr>
            </w:pPr>
          </w:p>
        </w:tc>
        <w:tc>
          <w:tcPr>
            <w:tcW w:w="6734" w:type="dxa"/>
            <w:shd w:val="clear" w:color="auto" w:fill="auto"/>
            <w:tcMar>
              <w:top w:w="100" w:type="dxa"/>
              <w:left w:w="100" w:type="dxa"/>
              <w:bottom w:w="100" w:type="dxa"/>
              <w:right w:w="100" w:type="dxa"/>
            </w:tcMar>
          </w:tcPr>
          <w:p w14:paraId="08D0D8C8"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Incorporation of latest available knowledge</w:t>
            </w:r>
          </w:p>
          <w:p w14:paraId="4F19354A" w14:textId="77777777" w:rsidR="004C18E2" w:rsidRPr="004C18E2" w:rsidRDefault="004C18E2" w:rsidP="004C18E2">
            <w:pPr>
              <w:widowControl w:val="0"/>
              <w:numPr>
                <w:ilvl w:val="0"/>
                <w:numId w:val="45"/>
              </w:numPr>
              <w:tabs>
                <w:tab w:val="clear" w:pos="567"/>
              </w:tabs>
              <w:snapToGrid/>
              <w:ind w:left="450"/>
              <w:rPr>
                <w:rFonts w:eastAsia="Times New Roman" w:cs="Arial"/>
                <w:lang w:val="en-GB" w:eastAsia="en-US"/>
              </w:rPr>
            </w:pPr>
            <w:r w:rsidRPr="004C18E2">
              <w:rPr>
                <w:rFonts w:eastAsia="Times New Roman" w:cs="Arial"/>
                <w:lang w:val="en-GB" w:eastAsia="en-US"/>
              </w:rPr>
              <w:t>Establish a transparent editorial process</w:t>
            </w:r>
          </w:p>
          <w:p w14:paraId="151E4069" w14:textId="77777777" w:rsidR="004C18E2" w:rsidRPr="004C18E2" w:rsidRDefault="004C18E2" w:rsidP="004C18E2">
            <w:pPr>
              <w:widowControl w:val="0"/>
              <w:rPr>
                <w:rFonts w:eastAsia="Times New Roman" w:cs="Arial"/>
                <w:lang w:val="en-GB" w:eastAsia="en-US"/>
              </w:rPr>
            </w:pPr>
          </w:p>
        </w:tc>
      </w:tr>
    </w:tbl>
    <w:p w14:paraId="1B548A65" w14:textId="77777777" w:rsidR="002F6207" w:rsidRDefault="002F6207" w:rsidP="004C18E2">
      <w:pPr>
        <w:widowControl w:val="0"/>
        <w:pBdr>
          <w:top w:val="nil"/>
          <w:left w:val="nil"/>
          <w:bottom w:val="nil"/>
          <w:right w:val="nil"/>
          <w:between w:val="nil"/>
        </w:pBdr>
        <w:spacing w:before="180" w:line="360" w:lineRule="auto"/>
        <w:ind w:left="7" w:right="166"/>
        <w:jc w:val="both"/>
        <w:rPr>
          <w:rFonts w:ascii="Times New Roman" w:eastAsia="Times New Roman" w:hAnsi="Times New Roman"/>
          <w:lang w:val="en-GB" w:eastAsia="en-US"/>
        </w:rPr>
        <w:sectPr w:rsidR="002F6207" w:rsidSect="003F7186">
          <w:headerReference w:type="even" r:id="rId22"/>
          <w:headerReference w:type="default" r:id="rId23"/>
          <w:footerReference w:type="even" r:id="rId24"/>
          <w:headerReference w:type="first" r:id="rId25"/>
          <w:footerReference w:type="first" r:id="rId26"/>
          <w:type w:val="oddPage"/>
          <w:pgSz w:w="11906" w:h="16838" w:code="9"/>
          <w:pgMar w:top="1418" w:right="1134" w:bottom="1134" w:left="1134" w:header="709" w:footer="680" w:gutter="0"/>
          <w:pgNumType w:start="1"/>
          <w:cols w:space="708"/>
          <w:titlePg/>
          <w:docGrid w:linePitch="360"/>
        </w:sectPr>
      </w:pPr>
    </w:p>
    <w:p w14:paraId="02C13A0F" w14:textId="77777777" w:rsidR="004C18E2" w:rsidRPr="004C18E2" w:rsidRDefault="004C18E2" w:rsidP="004C18E2">
      <w:pPr>
        <w:keepNext/>
        <w:spacing w:after="240"/>
        <w:outlineLvl w:val="2"/>
        <w:rPr>
          <w:rFonts w:eastAsia="Arial Unicode MS"/>
          <w:b/>
          <w:bCs/>
          <w:szCs w:val="22"/>
          <w:lang w:val="en-GB" w:eastAsia="en-US"/>
        </w:rPr>
      </w:pPr>
      <w:r w:rsidRPr="004C18E2">
        <w:rPr>
          <w:rFonts w:eastAsia="Arial Unicode MS"/>
          <w:b/>
          <w:bCs/>
          <w:szCs w:val="22"/>
          <w:lang w:val="en-GB" w:eastAsia="en-US"/>
        </w:rPr>
        <w:t>ANNEX 2: Composition of the StOR Advisory Board</w:t>
      </w:r>
    </w:p>
    <w:p w14:paraId="49DD12F0" w14:textId="77777777" w:rsidR="004C18E2" w:rsidRPr="004C18E2" w:rsidRDefault="004C18E2" w:rsidP="004C18E2">
      <w:pPr>
        <w:jc w:val="both"/>
        <w:rPr>
          <w:rFonts w:eastAsia="Times New Roman" w:cs="Arial"/>
          <w:lang w:val="en-GB" w:eastAsia="en-US"/>
        </w:rPr>
      </w:pPr>
      <w:r w:rsidRPr="004C18E2">
        <w:rPr>
          <w:rFonts w:eastAsia="Times New Roman" w:cs="Arial"/>
          <w:lang w:val="en-GB" w:eastAsia="en-US"/>
        </w:rPr>
        <w:t>The Advisory Board is coordinated by the Ocean Science Section of the IOC Secretariat: Henrik Enevoldsen, Kirsten Isensee and Ikroh Yoon.</w:t>
      </w:r>
    </w:p>
    <w:p w14:paraId="412C5197" w14:textId="77777777" w:rsidR="004C18E2" w:rsidRPr="004C18E2" w:rsidRDefault="004C18E2" w:rsidP="004C18E2">
      <w:pPr>
        <w:rPr>
          <w:rFonts w:eastAsia="Times New Roman" w:cs="Arial"/>
          <w:lang w:val="en-GB" w:eastAsia="en-US"/>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1"/>
        <w:gridCol w:w="4394"/>
      </w:tblGrid>
      <w:tr w:rsidR="004C18E2" w:rsidRPr="004C18E2" w14:paraId="6BE49E2B" w14:textId="77777777" w:rsidTr="00F807C5">
        <w:trPr>
          <w:trHeight w:val="806"/>
        </w:trPr>
        <w:tc>
          <w:tcPr>
            <w:tcW w:w="1555" w:type="dxa"/>
            <w:shd w:val="clear" w:color="auto" w:fill="F2F2F2" w:themeFill="background1" w:themeFillShade="F2"/>
          </w:tcPr>
          <w:p w14:paraId="5C42D483"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Country</w:t>
            </w:r>
          </w:p>
        </w:tc>
        <w:tc>
          <w:tcPr>
            <w:tcW w:w="2551" w:type="dxa"/>
            <w:shd w:val="clear" w:color="auto" w:fill="F2F2F2" w:themeFill="background1" w:themeFillShade="F2"/>
          </w:tcPr>
          <w:p w14:paraId="0ADF8A72"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Name</w:t>
            </w:r>
          </w:p>
        </w:tc>
        <w:tc>
          <w:tcPr>
            <w:tcW w:w="4394" w:type="dxa"/>
            <w:shd w:val="clear" w:color="auto" w:fill="F2F2F2" w:themeFill="background1" w:themeFillShade="F2"/>
          </w:tcPr>
          <w:p w14:paraId="3CCEFD9F"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Institution</w:t>
            </w:r>
          </w:p>
        </w:tc>
      </w:tr>
      <w:tr w:rsidR="004C18E2" w:rsidRPr="004C18E2" w14:paraId="4A869A95" w14:textId="77777777" w:rsidTr="00F807C5">
        <w:trPr>
          <w:trHeight w:val="806"/>
        </w:trPr>
        <w:tc>
          <w:tcPr>
            <w:tcW w:w="1555" w:type="dxa"/>
            <w:shd w:val="clear" w:color="auto" w:fill="auto"/>
          </w:tcPr>
          <w:p w14:paraId="3C94B68E"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Chile</w:t>
            </w:r>
          </w:p>
        </w:tc>
        <w:tc>
          <w:tcPr>
            <w:tcW w:w="2551" w:type="dxa"/>
            <w:shd w:val="clear" w:color="auto" w:fill="auto"/>
          </w:tcPr>
          <w:p w14:paraId="302C44D2"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Juan, Fierro</w:t>
            </w:r>
          </w:p>
        </w:tc>
        <w:tc>
          <w:tcPr>
            <w:tcW w:w="4394" w:type="dxa"/>
            <w:shd w:val="clear" w:color="auto" w:fill="auto"/>
          </w:tcPr>
          <w:p w14:paraId="2D5900F6"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SHOA</w:t>
            </w:r>
          </w:p>
        </w:tc>
      </w:tr>
      <w:tr w:rsidR="004C18E2" w:rsidRPr="004C18E2" w14:paraId="4124D529" w14:textId="77777777" w:rsidTr="00F807C5">
        <w:trPr>
          <w:trHeight w:val="806"/>
        </w:trPr>
        <w:tc>
          <w:tcPr>
            <w:tcW w:w="1555" w:type="dxa"/>
            <w:shd w:val="clear" w:color="auto" w:fill="auto"/>
          </w:tcPr>
          <w:p w14:paraId="28E52F54"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Germany</w:t>
            </w:r>
          </w:p>
        </w:tc>
        <w:tc>
          <w:tcPr>
            <w:tcW w:w="2551" w:type="dxa"/>
            <w:shd w:val="clear" w:color="auto" w:fill="auto"/>
          </w:tcPr>
          <w:p w14:paraId="7B558440"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Wunsch, Matthias</w:t>
            </w:r>
          </w:p>
        </w:tc>
        <w:tc>
          <w:tcPr>
            <w:tcW w:w="4394" w:type="dxa"/>
            <w:shd w:val="clear" w:color="auto" w:fill="auto"/>
          </w:tcPr>
          <w:p w14:paraId="1ABF8A2E"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IOC Focal Point (at the Federal Maritime and Hydrographic Agency - BSH)</w:t>
            </w:r>
          </w:p>
        </w:tc>
      </w:tr>
      <w:tr w:rsidR="004C18E2" w:rsidRPr="004C18E2" w14:paraId="46687CB9" w14:textId="77777777" w:rsidTr="00F807C5">
        <w:trPr>
          <w:trHeight w:val="806"/>
        </w:trPr>
        <w:tc>
          <w:tcPr>
            <w:tcW w:w="1555" w:type="dxa"/>
            <w:shd w:val="clear" w:color="auto" w:fill="auto"/>
          </w:tcPr>
          <w:p w14:paraId="3D12668D"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Japan</w:t>
            </w:r>
          </w:p>
        </w:tc>
        <w:tc>
          <w:tcPr>
            <w:tcW w:w="2551" w:type="dxa"/>
            <w:shd w:val="clear" w:color="auto" w:fill="auto"/>
          </w:tcPr>
          <w:p w14:paraId="05F51534"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Michida, Yutaka</w:t>
            </w:r>
          </w:p>
        </w:tc>
        <w:tc>
          <w:tcPr>
            <w:tcW w:w="4394" w:type="dxa"/>
            <w:shd w:val="clear" w:color="auto" w:fill="auto"/>
          </w:tcPr>
          <w:p w14:paraId="263B2789"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Chief of the IOC Japanese National Committee</w:t>
            </w:r>
          </w:p>
        </w:tc>
      </w:tr>
      <w:tr w:rsidR="004C18E2" w:rsidRPr="004C18E2" w14:paraId="308F83D5" w14:textId="77777777" w:rsidTr="00F807C5">
        <w:trPr>
          <w:trHeight w:val="806"/>
        </w:trPr>
        <w:tc>
          <w:tcPr>
            <w:tcW w:w="1555" w:type="dxa"/>
            <w:shd w:val="clear" w:color="auto" w:fill="auto"/>
          </w:tcPr>
          <w:p w14:paraId="3185A9C3"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Kuwait</w:t>
            </w:r>
          </w:p>
        </w:tc>
        <w:tc>
          <w:tcPr>
            <w:tcW w:w="2551" w:type="dxa"/>
            <w:shd w:val="clear" w:color="auto" w:fill="auto"/>
          </w:tcPr>
          <w:p w14:paraId="6FCE6E89"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Al-Yamani, Faiza</w:t>
            </w:r>
          </w:p>
        </w:tc>
        <w:tc>
          <w:tcPr>
            <w:tcW w:w="4394" w:type="dxa"/>
            <w:shd w:val="clear" w:color="auto" w:fill="auto"/>
          </w:tcPr>
          <w:p w14:paraId="5D736FA9"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Kuwait Institute for Scientific Research</w:t>
            </w:r>
          </w:p>
        </w:tc>
      </w:tr>
      <w:tr w:rsidR="004C18E2" w:rsidRPr="004C18E2" w14:paraId="05BC8566" w14:textId="77777777" w:rsidTr="00F807C5">
        <w:trPr>
          <w:trHeight w:val="806"/>
        </w:trPr>
        <w:tc>
          <w:tcPr>
            <w:tcW w:w="1555" w:type="dxa"/>
            <w:shd w:val="clear" w:color="auto" w:fill="auto"/>
          </w:tcPr>
          <w:p w14:paraId="0CC14944"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Senegal</w:t>
            </w:r>
          </w:p>
        </w:tc>
        <w:tc>
          <w:tcPr>
            <w:tcW w:w="2551" w:type="dxa"/>
            <w:shd w:val="clear" w:color="auto" w:fill="auto"/>
          </w:tcPr>
          <w:p w14:paraId="6E2462BC"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Dioh, Mariama</w:t>
            </w:r>
          </w:p>
        </w:tc>
        <w:tc>
          <w:tcPr>
            <w:tcW w:w="4394" w:type="dxa"/>
            <w:shd w:val="clear" w:color="auto" w:fill="auto"/>
          </w:tcPr>
          <w:p w14:paraId="04ECA682" w14:textId="77777777" w:rsidR="004C18E2" w:rsidRPr="004C18E2" w:rsidRDefault="004C18E2" w:rsidP="004C18E2">
            <w:pPr>
              <w:rPr>
                <w:rFonts w:eastAsia="Times New Roman" w:cs="Arial"/>
                <w:lang w:eastAsia="en-US"/>
              </w:rPr>
            </w:pPr>
            <w:r w:rsidRPr="004C18E2">
              <w:rPr>
                <w:rFonts w:eastAsia="Times New Roman" w:cs="Arial"/>
                <w:lang w:eastAsia="en-US"/>
              </w:rPr>
              <w:t>Ministère des Pêches et de l’Economie Maritime / Direction des Pêches Maritimes</w:t>
            </w:r>
          </w:p>
        </w:tc>
      </w:tr>
      <w:tr w:rsidR="004C18E2" w:rsidRPr="004C18E2" w14:paraId="76C42074" w14:textId="77777777" w:rsidTr="00F807C5">
        <w:trPr>
          <w:trHeight w:val="806"/>
        </w:trPr>
        <w:tc>
          <w:tcPr>
            <w:tcW w:w="1555" w:type="dxa"/>
            <w:shd w:val="clear" w:color="auto" w:fill="auto"/>
          </w:tcPr>
          <w:p w14:paraId="2C564810"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USA</w:t>
            </w:r>
          </w:p>
        </w:tc>
        <w:tc>
          <w:tcPr>
            <w:tcW w:w="2551" w:type="dxa"/>
            <w:shd w:val="clear" w:color="auto" w:fill="auto"/>
          </w:tcPr>
          <w:p w14:paraId="05175586"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Naughton, Joseph</w:t>
            </w:r>
          </w:p>
        </w:tc>
        <w:tc>
          <w:tcPr>
            <w:tcW w:w="4394" w:type="dxa"/>
            <w:shd w:val="clear" w:color="auto" w:fill="auto"/>
          </w:tcPr>
          <w:p w14:paraId="6B38A2A2"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NOAA</w:t>
            </w:r>
          </w:p>
        </w:tc>
      </w:tr>
      <w:tr w:rsidR="004C18E2" w:rsidRPr="004C18E2" w14:paraId="350BEC45" w14:textId="77777777" w:rsidTr="00F807C5">
        <w:trPr>
          <w:trHeight w:val="806"/>
        </w:trPr>
        <w:tc>
          <w:tcPr>
            <w:tcW w:w="1555" w:type="dxa"/>
            <w:shd w:val="clear" w:color="auto" w:fill="auto"/>
          </w:tcPr>
          <w:p w14:paraId="5D1DE8DE"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France</w:t>
            </w:r>
          </w:p>
        </w:tc>
        <w:tc>
          <w:tcPr>
            <w:tcW w:w="2551" w:type="dxa"/>
            <w:shd w:val="clear" w:color="auto" w:fill="auto"/>
          </w:tcPr>
          <w:p w14:paraId="5F7B67AF" w14:textId="77777777" w:rsidR="004C18E2" w:rsidRPr="004C18E2" w:rsidRDefault="004C18E2" w:rsidP="004C18E2">
            <w:pPr>
              <w:rPr>
                <w:rFonts w:eastAsia="Times New Roman" w:cs="Arial"/>
                <w:color w:val="000000"/>
                <w:lang w:val="en-GB" w:eastAsia="en-US"/>
              </w:rPr>
            </w:pPr>
            <w:r w:rsidRPr="004C18E2">
              <w:rPr>
                <w:rFonts w:eastAsia="Times New Roman" w:cs="Arial"/>
                <w:lang w:val="en-GB" w:eastAsia="en-US"/>
              </w:rPr>
              <w:t>Belbeoch, Mathieu</w:t>
            </w:r>
          </w:p>
        </w:tc>
        <w:tc>
          <w:tcPr>
            <w:tcW w:w="4394" w:type="dxa"/>
            <w:shd w:val="clear" w:color="auto" w:fill="auto"/>
          </w:tcPr>
          <w:p w14:paraId="1C459904" w14:textId="77777777" w:rsidR="004C18E2" w:rsidRPr="004C18E2" w:rsidRDefault="004C18E2" w:rsidP="004C18E2">
            <w:pPr>
              <w:rPr>
                <w:rFonts w:eastAsia="Times New Roman" w:cs="Arial"/>
                <w:lang w:val="en-GB" w:eastAsia="en-US"/>
              </w:rPr>
            </w:pPr>
            <w:r w:rsidRPr="004C18E2">
              <w:rPr>
                <w:rFonts w:eastAsia="Times New Roman" w:cs="Arial"/>
                <w:highlight w:val="white"/>
                <w:lang w:val="en-GB" w:eastAsia="en-US"/>
              </w:rPr>
              <w:t>Ocean OPS</w:t>
            </w:r>
          </w:p>
        </w:tc>
      </w:tr>
      <w:tr w:rsidR="004C18E2" w:rsidRPr="004C18E2" w14:paraId="382AF76E" w14:textId="77777777" w:rsidTr="00F807C5">
        <w:trPr>
          <w:trHeight w:val="806"/>
        </w:trPr>
        <w:tc>
          <w:tcPr>
            <w:tcW w:w="1555" w:type="dxa"/>
            <w:shd w:val="clear" w:color="auto" w:fill="auto"/>
          </w:tcPr>
          <w:p w14:paraId="2573E74A" w14:textId="77777777" w:rsidR="004C18E2" w:rsidRPr="004C18E2" w:rsidRDefault="004C18E2" w:rsidP="004C18E2">
            <w:pPr>
              <w:rPr>
                <w:rFonts w:eastAsia="Times New Roman" w:cs="Arial"/>
                <w:highlight w:val="white"/>
                <w:lang w:val="en-GB" w:eastAsia="en-US"/>
              </w:rPr>
            </w:pPr>
            <w:r w:rsidRPr="004C18E2">
              <w:rPr>
                <w:rFonts w:eastAsia="Times New Roman" w:cs="Arial"/>
                <w:highlight w:val="white"/>
                <w:lang w:val="en-GB" w:eastAsia="en-US"/>
              </w:rPr>
              <w:t>IOC</w:t>
            </w:r>
          </w:p>
        </w:tc>
        <w:tc>
          <w:tcPr>
            <w:tcW w:w="2551" w:type="dxa"/>
            <w:shd w:val="clear" w:color="auto" w:fill="auto"/>
          </w:tcPr>
          <w:p w14:paraId="6A7CBBA6" w14:textId="77777777" w:rsidR="004C18E2" w:rsidRPr="004C18E2" w:rsidRDefault="004C18E2" w:rsidP="004C18E2">
            <w:pPr>
              <w:rPr>
                <w:rFonts w:eastAsia="Times New Roman" w:cs="Arial"/>
                <w:highlight w:val="white"/>
                <w:lang w:val="en-GB" w:eastAsia="en-US"/>
              </w:rPr>
            </w:pPr>
            <w:r w:rsidRPr="004C18E2">
              <w:rPr>
                <w:rFonts w:eastAsia="Times New Roman" w:cs="Arial"/>
                <w:lang w:val="en-GB" w:eastAsia="en-US"/>
              </w:rPr>
              <w:t>Barbière, Julian</w:t>
            </w:r>
          </w:p>
          <w:p w14:paraId="4E37D13B" w14:textId="77777777" w:rsidR="004C18E2" w:rsidRPr="004C18E2" w:rsidRDefault="004C18E2" w:rsidP="004C18E2">
            <w:pPr>
              <w:rPr>
                <w:rFonts w:eastAsia="Times New Roman" w:cs="Arial"/>
                <w:color w:val="000000"/>
                <w:highlight w:val="white"/>
                <w:lang w:val="en-GB" w:eastAsia="en-US"/>
              </w:rPr>
            </w:pPr>
            <w:r w:rsidRPr="004C18E2">
              <w:rPr>
                <w:rFonts w:eastAsia="Times New Roman" w:cs="Arial"/>
                <w:lang w:val="en-GB" w:eastAsia="en-US"/>
              </w:rPr>
              <w:t>Clausen, Alison</w:t>
            </w:r>
          </w:p>
        </w:tc>
        <w:tc>
          <w:tcPr>
            <w:tcW w:w="4394" w:type="dxa"/>
            <w:shd w:val="clear" w:color="auto" w:fill="auto"/>
          </w:tcPr>
          <w:p w14:paraId="4E629CEC" w14:textId="77777777" w:rsidR="004C18E2" w:rsidRPr="004C18E2" w:rsidRDefault="004C18E2" w:rsidP="004C18E2">
            <w:pPr>
              <w:rPr>
                <w:rFonts w:eastAsia="Times New Roman" w:cs="Arial"/>
                <w:highlight w:val="white"/>
                <w:lang w:val="en-GB" w:eastAsia="en-US"/>
              </w:rPr>
            </w:pPr>
            <w:r w:rsidRPr="004C18E2">
              <w:rPr>
                <w:rFonts w:eastAsia="Times New Roman" w:cs="Arial"/>
                <w:highlight w:val="white"/>
                <w:lang w:val="en-GB" w:eastAsia="en-US"/>
              </w:rPr>
              <w:t>MPR/DCU, IOC Secretariat</w:t>
            </w:r>
          </w:p>
        </w:tc>
      </w:tr>
      <w:tr w:rsidR="004C18E2" w:rsidRPr="004C18E2" w14:paraId="1D472F7F" w14:textId="77777777" w:rsidTr="00F807C5">
        <w:trPr>
          <w:trHeight w:val="806"/>
        </w:trPr>
        <w:tc>
          <w:tcPr>
            <w:tcW w:w="1555" w:type="dxa"/>
            <w:shd w:val="clear" w:color="auto" w:fill="auto"/>
          </w:tcPr>
          <w:p w14:paraId="63630DCD" w14:textId="77777777" w:rsidR="004C18E2" w:rsidRPr="004C18E2" w:rsidRDefault="004C18E2" w:rsidP="004C18E2">
            <w:pPr>
              <w:rPr>
                <w:rFonts w:eastAsia="Times New Roman" w:cs="Arial"/>
                <w:highlight w:val="white"/>
                <w:lang w:val="en-GB" w:eastAsia="en-US"/>
              </w:rPr>
            </w:pPr>
            <w:r w:rsidRPr="004C18E2">
              <w:rPr>
                <w:rFonts w:eastAsia="Times New Roman" w:cs="Arial"/>
                <w:highlight w:val="white"/>
                <w:lang w:val="en-GB" w:eastAsia="en-US"/>
              </w:rPr>
              <w:t>IOC</w:t>
            </w:r>
          </w:p>
        </w:tc>
        <w:tc>
          <w:tcPr>
            <w:tcW w:w="2551" w:type="dxa"/>
            <w:shd w:val="clear" w:color="auto" w:fill="auto"/>
          </w:tcPr>
          <w:p w14:paraId="6A155F51" w14:textId="77777777" w:rsidR="004C18E2" w:rsidRPr="004C18E2" w:rsidRDefault="004C18E2" w:rsidP="004C18E2">
            <w:pPr>
              <w:rPr>
                <w:rFonts w:eastAsia="Times New Roman" w:cs="Arial"/>
                <w:color w:val="000000"/>
                <w:highlight w:val="white"/>
                <w:lang w:val="en-GB" w:eastAsia="en-US"/>
              </w:rPr>
            </w:pPr>
            <w:r w:rsidRPr="004C18E2">
              <w:rPr>
                <w:rFonts w:eastAsia="Times New Roman" w:cs="Arial"/>
                <w:lang w:val="en-GB" w:eastAsia="en-US"/>
              </w:rPr>
              <w:t>Heslop, Emma</w:t>
            </w:r>
          </w:p>
        </w:tc>
        <w:tc>
          <w:tcPr>
            <w:tcW w:w="4394" w:type="dxa"/>
            <w:shd w:val="clear" w:color="auto" w:fill="auto"/>
          </w:tcPr>
          <w:p w14:paraId="50F68B34" w14:textId="77777777" w:rsidR="004C18E2" w:rsidRPr="004C18E2" w:rsidRDefault="004C18E2" w:rsidP="004C18E2">
            <w:pPr>
              <w:rPr>
                <w:rFonts w:eastAsia="Times New Roman" w:cs="Arial"/>
                <w:highlight w:val="white"/>
                <w:lang w:val="en-GB" w:eastAsia="en-US"/>
              </w:rPr>
            </w:pPr>
            <w:r w:rsidRPr="004C18E2">
              <w:rPr>
                <w:rFonts w:eastAsia="Times New Roman" w:cs="Arial"/>
                <w:highlight w:val="white"/>
                <w:lang w:val="en-GB" w:eastAsia="en-US"/>
              </w:rPr>
              <w:t>OOS, IOC Secretariat</w:t>
            </w:r>
          </w:p>
        </w:tc>
      </w:tr>
      <w:tr w:rsidR="004C18E2" w:rsidRPr="004C18E2" w14:paraId="144CCC4D" w14:textId="77777777" w:rsidTr="00F807C5">
        <w:trPr>
          <w:trHeight w:val="806"/>
        </w:trPr>
        <w:tc>
          <w:tcPr>
            <w:tcW w:w="1555" w:type="dxa"/>
            <w:shd w:val="clear" w:color="auto" w:fill="auto"/>
          </w:tcPr>
          <w:p w14:paraId="4EF5DA4D" w14:textId="77777777" w:rsidR="004C18E2" w:rsidRPr="004C18E2" w:rsidRDefault="004C18E2" w:rsidP="004C18E2">
            <w:pPr>
              <w:rPr>
                <w:rFonts w:eastAsia="Times New Roman" w:cs="Arial"/>
                <w:highlight w:val="white"/>
                <w:lang w:val="en-GB" w:eastAsia="en-US"/>
              </w:rPr>
            </w:pPr>
            <w:r w:rsidRPr="004C18E2">
              <w:rPr>
                <w:rFonts w:eastAsia="Times New Roman" w:cs="Arial"/>
                <w:highlight w:val="white"/>
                <w:lang w:val="en-GB" w:eastAsia="en-US"/>
              </w:rPr>
              <w:t>IOC</w:t>
            </w:r>
          </w:p>
        </w:tc>
        <w:tc>
          <w:tcPr>
            <w:tcW w:w="2551" w:type="dxa"/>
            <w:shd w:val="clear" w:color="auto" w:fill="auto"/>
          </w:tcPr>
          <w:p w14:paraId="48C49A88" w14:textId="77777777" w:rsidR="004C18E2" w:rsidRPr="004C18E2" w:rsidRDefault="004C18E2" w:rsidP="004C18E2">
            <w:pPr>
              <w:rPr>
                <w:rFonts w:eastAsia="Times New Roman" w:cs="Arial"/>
                <w:color w:val="000000"/>
                <w:highlight w:val="white"/>
                <w:lang w:val="en-GB" w:eastAsia="en-US"/>
              </w:rPr>
            </w:pPr>
            <w:r w:rsidRPr="004C18E2">
              <w:rPr>
                <w:rFonts w:eastAsia="Times New Roman" w:cs="Arial"/>
                <w:lang w:val="en-GB" w:eastAsia="en-US"/>
              </w:rPr>
              <w:t>Pissierssens, Peter</w:t>
            </w:r>
          </w:p>
        </w:tc>
        <w:tc>
          <w:tcPr>
            <w:tcW w:w="4394" w:type="dxa"/>
            <w:shd w:val="clear" w:color="auto" w:fill="auto"/>
          </w:tcPr>
          <w:p w14:paraId="39693616" w14:textId="77777777" w:rsidR="004C18E2" w:rsidRPr="004C18E2" w:rsidRDefault="004C18E2" w:rsidP="004C18E2">
            <w:pPr>
              <w:rPr>
                <w:rFonts w:eastAsia="Times New Roman" w:cs="Arial"/>
                <w:highlight w:val="white"/>
                <w:lang w:val="en-GB" w:eastAsia="en-US"/>
              </w:rPr>
            </w:pPr>
            <w:r w:rsidRPr="004C18E2">
              <w:rPr>
                <w:rFonts w:eastAsia="Times New Roman" w:cs="Arial"/>
                <w:highlight w:val="white"/>
                <w:lang w:val="en-GB" w:eastAsia="en-US"/>
              </w:rPr>
              <w:t>CD/IODE, IOC Secretariat</w:t>
            </w:r>
          </w:p>
        </w:tc>
      </w:tr>
      <w:tr w:rsidR="004C18E2" w:rsidRPr="004C18E2" w14:paraId="2D2735A0" w14:textId="77777777" w:rsidTr="00F807C5">
        <w:trPr>
          <w:trHeight w:val="806"/>
        </w:trPr>
        <w:tc>
          <w:tcPr>
            <w:tcW w:w="1555" w:type="dxa"/>
            <w:shd w:val="clear" w:color="auto" w:fill="auto"/>
          </w:tcPr>
          <w:p w14:paraId="6146656F" w14:textId="77777777" w:rsidR="004C18E2" w:rsidRPr="004C18E2" w:rsidRDefault="004C18E2" w:rsidP="004C18E2">
            <w:pPr>
              <w:rPr>
                <w:rFonts w:eastAsia="Times New Roman" w:cs="Arial"/>
                <w:highlight w:val="white"/>
                <w:lang w:val="en-GB" w:eastAsia="en-US"/>
              </w:rPr>
            </w:pPr>
            <w:r w:rsidRPr="004C18E2">
              <w:rPr>
                <w:rFonts w:eastAsia="Times New Roman" w:cs="Arial"/>
                <w:highlight w:val="white"/>
                <w:lang w:val="en-GB" w:eastAsia="en-US"/>
              </w:rPr>
              <w:t>IOC</w:t>
            </w:r>
          </w:p>
        </w:tc>
        <w:tc>
          <w:tcPr>
            <w:tcW w:w="2551" w:type="dxa"/>
            <w:shd w:val="clear" w:color="auto" w:fill="auto"/>
          </w:tcPr>
          <w:p w14:paraId="64AE4DC1" w14:textId="77777777" w:rsidR="004C18E2" w:rsidRPr="004C18E2" w:rsidRDefault="004C18E2" w:rsidP="004C18E2">
            <w:pPr>
              <w:rPr>
                <w:rFonts w:eastAsia="Times New Roman" w:cs="Arial"/>
                <w:lang w:val="en-GB" w:eastAsia="en-US"/>
              </w:rPr>
            </w:pPr>
            <w:r w:rsidRPr="004C18E2">
              <w:rPr>
                <w:rFonts w:eastAsia="Times New Roman" w:cs="Arial"/>
                <w:lang w:val="en-GB" w:eastAsia="en-US"/>
              </w:rPr>
              <w:t>Aliaga, Bernardo</w:t>
            </w:r>
          </w:p>
          <w:p w14:paraId="0DE9DDAD" w14:textId="77777777" w:rsidR="004C18E2" w:rsidRPr="004C18E2" w:rsidRDefault="004C18E2" w:rsidP="004C18E2">
            <w:pPr>
              <w:rPr>
                <w:rFonts w:eastAsia="Times New Roman" w:cs="Arial"/>
                <w:color w:val="000000"/>
                <w:highlight w:val="white"/>
                <w:lang w:val="en-GB" w:eastAsia="en-US"/>
              </w:rPr>
            </w:pPr>
            <w:r w:rsidRPr="004C18E2">
              <w:rPr>
                <w:rFonts w:eastAsia="Times New Roman" w:cs="Arial"/>
                <w:lang w:val="en-GB" w:eastAsia="en-US"/>
              </w:rPr>
              <w:t>Chang Seng, Denis</w:t>
            </w:r>
          </w:p>
        </w:tc>
        <w:tc>
          <w:tcPr>
            <w:tcW w:w="4394" w:type="dxa"/>
            <w:shd w:val="clear" w:color="auto" w:fill="auto"/>
          </w:tcPr>
          <w:p w14:paraId="5FE9F34A" w14:textId="77777777" w:rsidR="004C18E2" w:rsidRPr="004C18E2" w:rsidRDefault="004C18E2" w:rsidP="004C18E2">
            <w:pPr>
              <w:rPr>
                <w:rFonts w:eastAsia="Times New Roman" w:cs="Arial"/>
                <w:highlight w:val="white"/>
                <w:lang w:val="en-GB" w:eastAsia="en-US"/>
              </w:rPr>
            </w:pPr>
            <w:r w:rsidRPr="004C18E2">
              <w:rPr>
                <w:rFonts w:eastAsia="Times New Roman" w:cs="Arial"/>
                <w:highlight w:val="white"/>
                <w:lang w:val="en-GB" w:eastAsia="en-US"/>
              </w:rPr>
              <w:t>TSR, IOC Secretariat</w:t>
            </w:r>
          </w:p>
        </w:tc>
      </w:tr>
    </w:tbl>
    <w:p w14:paraId="54410980" w14:textId="77777777" w:rsidR="004C18E2" w:rsidRDefault="004C18E2" w:rsidP="004C18E2">
      <w:pPr>
        <w:rPr>
          <w:rFonts w:eastAsia="Times New Roman" w:cs="Arial"/>
          <w:lang w:val="en-GB" w:eastAsia="en-US"/>
        </w:rPr>
      </w:pPr>
    </w:p>
    <w:p w14:paraId="7251F2D3" w14:textId="77777777" w:rsidR="002F6207" w:rsidRDefault="002F6207" w:rsidP="004C18E2">
      <w:pPr>
        <w:widowControl w:val="0"/>
        <w:spacing w:before="180" w:line="360" w:lineRule="auto"/>
        <w:ind w:left="7" w:right="166"/>
        <w:jc w:val="both"/>
        <w:rPr>
          <w:rFonts w:ascii="Times New Roman" w:eastAsia="Times New Roman" w:hAnsi="Times New Roman"/>
          <w:lang w:val="en-GB" w:eastAsia="en-US"/>
        </w:rPr>
        <w:sectPr w:rsidR="002F6207" w:rsidSect="003F7186">
          <w:headerReference w:type="first" r:id="rId27"/>
          <w:footerReference w:type="first" r:id="rId28"/>
          <w:type w:val="oddPage"/>
          <w:pgSz w:w="11906" w:h="16838" w:code="9"/>
          <w:pgMar w:top="1418" w:right="1134" w:bottom="1134" w:left="1134" w:header="709" w:footer="680" w:gutter="0"/>
          <w:pgNumType w:start="1"/>
          <w:cols w:space="708"/>
          <w:titlePg/>
          <w:docGrid w:linePitch="360"/>
        </w:sectPr>
      </w:pPr>
    </w:p>
    <w:p w14:paraId="189C148A" w14:textId="77777777" w:rsidR="004C18E2" w:rsidRPr="004C18E2" w:rsidRDefault="004C18E2" w:rsidP="004C18E2">
      <w:pPr>
        <w:keepNext/>
        <w:spacing w:after="240"/>
        <w:outlineLvl w:val="2"/>
        <w:rPr>
          <w:rFonts w:eastAsia="Arial Unicode MS"/>
          <w:b/>
          <w:bCs/>
          <w:szCs w:val="22"/>
          <w:lang w:val="en-GB" w:eastAsia="en-US"/>
        </w:rPr>
      </w:pPr>
      <w:r w:rsidRPr="004C18E2">
        <w:rPr>
          <w:rFonts w:eastAsia="Arial Unicode MS"/>
          <w:b/>
          <w:bCs/>
          <w:szCs w:val="22"/>
          <w:lang w:val="en-GB" w:eastAsia="en-US"/>
        </w:rPr>
        <w:t xml:space="preserve">ANNEX 3: </w:t>
      </w:r>
      <w:r w:rsidRPr="004C18E2">
        <w:rPr>
          <w:rFonts w:eastAsia="Arial Unicode MS" w:cs="Arial"/>
          <w:b/>
          <w:bCs/>
          <w:szCs w:val="22"/>
          <w:lang w:val="en-GB" w:eastAsia="en-US"/>
        </w:rPr>
        <w:t>Seven</w:t>
      </w:r>
      <w:r w:rsidRPr="004C18E2">
        <w:rPr>
          <w:rFonts w:eastAsia="Arial Unicode MS"/>
          <w:b/>
          <w:bCs/>
          <w:szCs w:val="22"/>
          <w:lang w:val="en-GB" w:eastAsia="en-US"/>
        </w:rPr>
        <w:t xml:space="preserve"> Ocean Decade Outcomes and relevant themes for storylines</w:t>
      </w:r>
    </w:p>
    <w:p w14:paraId="36CCAD67" w14:textId="77777777" w:rsidR="004C18E2" w:rsidRPr="004C18E2" w:rsidRDefault="004C18E2" w:rsidP="004C18E2">
      <w:pPr>
        <w:widowControl w:val="0"/>
        <w:pBdr>
          <w:top w:val="nil"/>
          <w:left w:val="nil"/>
          <w:bottom w:val="nil"/>
          <w:right w:val="nil"/>
          <w:between w:val="nil"/>
        </w:pBdr>
        <w:spacing w:before="180"/>
        <w:rPr>
          <w:rFonts w:eastAsia="Times New Roman" w:cs="Arial"/>
          <w:lang w:val="en-GB" w:eastAsia="en-US"/>
        </w:rPr>
      </w:pPr>
      <w:r w:rsidRPr="004C18E2">
        <w:rPr>
          <w:rFonts w:eastAsia="Times New Roman" w:cs="Arial"/>
          <w:lang w:val="en-GB" w:eastAsia="en-US"/>
        </w:rPr>
        <w:t>The table below lists the seven Ocean Decade Outcomes and themes potentially illustrating the status and trends towards achieving the Outcomes. Themes are supposed to assist in the identification of storyline topics. The list of themes should be considered preliminary and will develop further based on the input by the StOR Advisory Board and consultations throughout the preparation of upcoming StOR editions.</w:t>
      </w:r>
    </w:p>
    <w:p w14:paraId="652515E4" w14:textId="77777777" w:rsidR="004C18E2" w:rsidRPr="004C18E2" w:rsidRDefault="004C18E2" w:rsidP="004C18E2">
      <w:pPr>
        <w:widowControl w:val="0"/>
        <w:pBdr>
          <w:top w:val="nil"/>
          <w:left w:val="nil"/>
          <w:bottom w:val="nil"/>
          <w:right w:val="nil"/>
          <w:between w:val="nil"/>
        </w:pBdr>
        <w:spacing w:before="180"/>
        <w:rPr>
          <w:rFonts w:ascii="Times New Roman" w:eastAsia="Times New Roman" w:hAnsi="Times New Roman"/>
          <w:lang w:val="en-GB" w:eastAsia="en-US"/>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599"/>
      </w:tblGrid>
      <w:tr w:rsidR="004C18E2" w:rsidRPr="004C18E2" w14:paraId="780304C5" w14:textId="77777777" w:rsidTr="00F807C5">
        <w:trPr>
          <w:trHeight w:val="477"/>
        </w:trPr>
        <w:tc>
          <w:tcPr>
            <w:tcW w:w="3030" w:type="dxa"/>
            <w:shd w:val="clear" w:color="auto" w:fill="auto"/>
            <w:tcMar>
              <w:top w:w="100" w:type="dxa"/>
              <w:left w:w="100" w:type="dxa"/>
              <w:bottom w:w="100" w:type="dxa"/>
              <w:right w:w="100" w:type="dxa"/>
            </w:tcMar>
          </w:tcPr>
          <w:p w14:paraId="5AC5C4FC"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color w:val="2E2E2E"/>
                <w:lang w:val="en-GB" w:eastAsia="en-US"/>
              </w:rPr>
              <w:t>A clean ocean where sources of pollution are identified and reduced or removed.</w:t>
            </w:r>
          </w:p>
        </w:tc>
        <w:tc>
          <w:tcPr>
            <w:tcW w:w="6599" w:type="dxa"/>
            <w:shd w:val="clear" w:color="auto" w:fill="auto"/>
            <w:tcMar>
              <w:top w:w="100" w:type="dxa"/>
              <w:left w:w="100" w:type="dxa"/>
              <w:bottom w:w="100" w:type="dxa"/>
              <w:right w:w="100" w:type="dxa"/>
            </w:tcMar>
          </w:tcPr>
          <w:p w14:paraId="7022ECBB"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nutrients and eutrophication, plastic pollution</w:t>
            </w:r>
          </w:p>
          <w:p w14:paraId="06E0C570"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Strategies to reduce ocean pollution</w:t>
            </w:r>
          </w:p>
        </w:tc>
      </w:tr>
      <w:tr w:rsidR="004C18E2" w:rsidRPr="004C18E2" w14:paraId="2C4157D9" w14:textId="77777777" w:rsidTr="00F807C5">
        <w:tc>
          <w:tcPr>
            <w:tcW w:w="3030" w:type="dxa"/>
            <w:shd w:val="clear" w:color="auto" w:fill="auto"/>
            <w:tcMar>
              <w:top w:w="100" w:type="dxa"/>
              <w:left w:w="100" w:type="dxa"/>
              <w:bottom w:w="100" w:type="dxa"/>
              <w:right w:w="100" w:type="dxa"/>
            </w:tcMar>
          </w:tcPr>
          <w:p w14:paraId="26DAE46B"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color w:val="2E2E2E"/>
                <w:lang w:val="en-GB" w:eastAsia="en-US"/>
              </w:rPr>
              <w:t>A healthy and resilient ocean where marine ecosystems are understood, protected, restored and managed.</w:t>
            </w:r>
          </w:p>
        </w:tc>
        <w:tc>
          <w:tcPr>
            <w:tcW w:w="6599" w:type="dxa"/>
            <w:shd w:val="clear" w:color="auto" w:fill="auto"/>
            <w:tcMar>
              <w:top w:w="100" w:type="dxa"/>
              <w:left w:w="100" w:type="dxa"/>
              <w:bottom w:w="100" w:type="dxa"/>
              <w:right w:w="100" w:type="dxa"/>
            </w:tcMar>
          </w:tcPr>
          <w:p w14:paraId="3679913F"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ocean stressors and their impacts, e.g. ocean acidification, warming, deoxygenation, sea level rise</w:t>
            </w:r>
          </w:p>
          <w:p w14:paraId="70C5F673"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marine life, e.g. biodiversity, different functional groups.</w:t>
            </w:r>
          </w:p>
          <w:p w14:paraId="758C8E70"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marine protection, restoration, marine management</w:t>
            </w:r>
          </w:p>
        </w:tc>
      </w:tr>
      <w:tr w:rsidR="004C18E2" w:rsidRPr="004C18E2" w14:paraId="63C32CE2" w14:textId="77777777" w:rsidTr="00F807C5">
        <w:tc>
          <w:tcPr>
            <w:tcW w:w="3030" w:type="dxa"/>
            <w:shd w:val="clear" w:color="auto" w:fill="auto"/>
            <w:tcMar>
              <w:top w:w="100" w:type="dxa"/>
              <w:left w:w="100" w:type="dxa"/>
              <w:bottom w:w="100" w:type="dxa"/>
              <w:right w:w="100" w:type="dxa"/>
            </w:tcMar>
          </w:tcPr>
          <w:p w14:paraId="61D3EEBB"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color w:val="2E2E2E"/>
                <w:lang w:val="en-GB" w:eastAsia="en-US"/>
              </w:rPr>
              <w:t>A productive ocean supporting sustainable food supply and a sustainable ocean economy.</w:t>
            </w:r>
          </w:p>
        </w:tc>
        <w:tc>
          <w:tcPr>
            <w:tcW w:w="6599" w:type="dxa"/>
            <w:shd w:val="clear" w:color="auto" w:fill="auto"/>
            <w:tcMar>
              <w:top w:w="100" w:type="dxa"/>
              <w:left w:w="100" w:type="dxa"/>
              <w:bottom w:w="100" w:type="dxa"/>
              <w:right w:w="100" w:type="dxa"/>
            </w:tcMar>
          </w:tcPr>
          <w:p w14:paraId="1A7A600A"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 xml:space="preserve">Status and trends of ocean economy and blue food, such as fisheries, aquaculture, maritime transport, coastal, marine and maritime tourism, other traditional uses, coastal renewable energy, marine ecosystem services (i.e. blue carbon), seabed mining, and bioprospecting </w:t>
            </w:r>
          </w:p>
        </w:tc>
      </w:tr>
      <w:tr w:rsidR="004C18E2" w:rsidRPr="004C18E2" w14:paraId="08E8937F" w14:textId="77777777" w:rsidTr="00F807C5">
        <w:tc>
          <w:tcPr>
            <w:tcW w:w="3030" w:type="dxa"/>
            <w:shd w:val="clear" w:color="auto" w:fill="auto"/>
            <w:tcMar>
              <w:top w:w="100" w:type="dxa"/>
              <w:left w:w="100" w:type="dxa"/>
              <w:bottom w:w="100" w:type="dxa"/>
              <w:right w:w="100" w:type="dxa"/>
            </w:tcMar>
          </w:tcPr>
          <w:p w14:paraId="519DBE5B"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color w:val="2E2E2E"/>
                <w:lang w:val="en-GB" w:eastAsia="en-US"/>
              </w:rPr>
              <w:t>A predicted ocean where society understands and can respond to changing ocean conditions.</w:t>
            </w:r>
          </w:p>
        </w:tc>
        <w:tc>
          <w:tcPr>
            <w:tcW w:w="6599" w:type="dxa"/>
            <w:shd w:val="clear" w:color="auto" w:fill="auto"/>
            <w:tcMar>
              <w:top w:w="100" w:type="dxa"/>
              <w:left w:w="100" w:type="dxa"/>
              <w:bottom w:w="100" w:type="dxa"/>
              <w:right w:w="100" w:type="dxa"/>
            </w:tcMar>
          </w:tcPr>
          <w:p w14:paraId="2B9C843F"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ocean predictions</w:t>
            </w:r>
          </w:p>
          <w:p w14:paraId="2E8A40E6"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 xml:space="preserve">Status, trends and impacts of ocean based mitigation efforts, in particular marine carbon dioxide removal technologies </w:t>
            </w:r>
          </w:p>
        </w:tc>
      </w:tr>
      <w:tr w:rsidR="004C18E2" w:rsidRPr="004C18E2" w14:paraId="096A337E" w14:textId="77777777" w:rsidTr="00F807C5">
        <w:tc>
          <w:tcPr>
            <w:tcW w:w="3030" w:type="dxa"/>
            <w:shd w:val="clear" w:color="auto" w:fill="auto"/>
            <w:tcMar>
              <w:top w:w="100" w:type="dxa"/>
              <w:left w:w="100" w:type="dxa"/>
              <w:bottom w:w="100" w:type="dxa"/>
              <w:right w:w="100" w:type="dxa"/>
            </w:tcMar>
          </w:tcPr>
          <w:p w14:paraId="5D6F1DBE"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color w:val="2E2E2E"/>
                <w:lang w:val="en-GB" w:eastAsia="en-US"/>
              </w:rPr>
              <w:t>A safe ocean where life and livelihoods are protected from ocean-related hazards.</w:t>
            </w:r>
          </w:p>
        </w:tc>
        <w:tc>
          <w:tcPr>
            <w:tcW w:w="6599" w:type="dxa"/>
            <w:shd w:val="clear" w:color="auto" w:fill="auto"/>
            <w:tcMar>
              <w:top w:w="100" w:type="dxa"/>
              <w:left w:w="100" w:type="dxa"/>
              <w:bottom w:w="100" w:type="dxa"/>
              <w:right w:w="100" w:type="dxa"/>
            </w:tcMar>
          </w:tcPr>
          <w:p w14:paraId="0AD4DB1E"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in detection, monitoring, warning and response systems of ocean-related hazards.</w:t>
            </w:r>
          </w:p>
          <w:p w14:paraId="22E6C041"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trends and impacts of harmful algae blooms</w:t>
            </w:r>
          </w:p>
        </w:tc>
      </w:tr>
      <w:tr w:rsidR="004C18E2" w:rsidRPr="004C18E2" w14:paraId="16A2684F" w14:textId="77777777" w:rsidTr="00F807C5">
        <w:tc>
          <w:tcPr>
            <w:tcW w:w="3030" w:type="dxa"/>
            <w:shd w:val="clear" w:color="auto" w:fill="auto"/>
            <w:tcMar>
              <w:top w:w="100" w:type="dxa"/>
              <w:left w:w="100" w:type="dxa"/>
              <w:bottom w:w="100" w:type="dxa"/>
              <w:right w:w="100" w:type="dxa"/>
            </w:tcMar>
          </w:tcPr>
          <w:p w14:paraId="4A460CE3"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color w:val="2E2E2E"/>
                <w:lang w:val="en-GB" w:eastAsia="en-US"/>
              </w:rPr>
              <w:t>An accessible ocean with open and equitable access to data, information and technology and innovation.</w:t>
            </w:r>
          </w:p>
        </w:tc>
        <w:tc>
          <w:tcPr>
            <w:tcW w:w="6599" w:type="dxa"/>
            <w:shd w:val="clear" w:color="auto" w:fill="auto"/>
            <w:tcMar>
              <w:top w:w="100" w:type="dxa"/>
              <w:left w:w="100" w:type="dxa"/>
              <w:bottom w:w="100" w:type="dxa"/>
              <w:right w:w="100" w:type="dxa"/>
            </w:tcMar>
          </w:tcPr>
          <w:p w14:paraId="7C694F6E"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the ocean observing system</w:t>
            </w:r>
          </w:p>
          <w:p w14:paraId="6F192F89"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ocean data management</w:t>
            </w:r>
          </w:p>
          <w:p w14:paraId="34418F49"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access to technological and human resources relevant for ocean activities</w:t>
            </w:r>
          </w:p>
          <w:p w14:paraId="5222A861"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capacity building in the field of ocean science and marine management</w:t>
            </w:r>
          </w:p>
        </w:tc>
      </w:tr>
      <w:tr w:rsidR="004C18E2" w:rsidRPr="004C18E2" w14:paraId="4B43A55F" w14:textId="77777777" w:rsidTr="00F807C5">
        <w:tc>
          <w:tcPr>
            <w:tcW w:w="3030" w:type="dxa"/>
            <w:shd w:val="clear" w:color="auto" w:fill="auto"/>
            <w:tcMar>
              <w:top w:w="100" w:type="dxa"/>
              <w:left w:w="100" w:type="dxa"/>
              <w:bottom w:w="100" w:type="dxa"/>
              <w:right w:w="100" w:type="dxa"/>
            </w:tcMar>
          </w:tcPr>
          <w:p w14:paraId="6F8854B8"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color w:val="2E2E2E"/>
                <w:lang w:val="en-GB" w:eastAsia="en-US"/>
              </w:rPr>
              <w:t>An inspiring and engaging ocean where society understands and values the ocean in relation to human wellbeing and sustainable development.</w:t>
            </w:r>
          </w:p>
        </w:tc>
        <w:tc>
          <w:tcPr>
            <w:tcW w:w="6599" w:type="dxa"/>
            <w:shd w:val="clear" w:color="auto" w:fill="auto"/>
            <w:tcMar>
              <w:top w:w="100" w:type="dxa"/>
              <w:left w:w="100" w:type="dxa"/>
              <w:bottom w:w="100" w:type="dxa"/>
              <w:right w:w="100" w:type="dxa"/>
            </w:tcMar>
          </w:tcPr>
          <w:p w14:paraId="5C27159F"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Status and trends of ocean literacy activities’ implementation</w:t>
            </w:r>
          </w:p>
          <w:p w14:paraId="62755B7D" w14:textId="77777777" w:rsidR="004C18E2" w:rsidRPr="004C18E2" w:rsidRDefault="004C18E2" w:rsidP="004C18E2">
            <w:pPr>
              <w:widowControl w:val="0"/>
              <w:pBdr>
                <w:top w:val="nil"/>
                <w:left w:val="nil"/>
                <w:bottom w:val="nil"/>
                <w:right w:val="nil"/>
                <w:between w:val="nil"/>
              </w:pBdr>
              <w:rPr>
                <w:rFonts w:eastAsia="Times New Roman" w:cs="Arial"/>
                <w:lang w:val="en-GB" w:eastAsia="en-US"/>
              </w:rPr>
            </w:pPr>
            <w:r w:rsidRPr="004C18E2">
              <w:rPr>
                <w:rFonts w:eastAsia="Times New Roman" w:cs="Arial"/>
                <w:lang w:val="en-GB" w:eastAsia="en-US"/>
              </w:rPr>
              <w:t>Efforts to include indigenous and traditional knowledge in ocean science</w:t>
            </w:r>
          </w:p>
        </w:tc>
      </w:tr>
    </w:tbl>
    <w:p w14:paraId="1F99EEC5" w14:textId="77777777" w:rsidR="002F6207" w:rsidRDefault="002F6207" w:rsidP="004C18E2">
      <w:pPr>
        <w:widowControl w:val="0"/>
        <w:spacing w:before="180" w:line="360" w:lineRule="auto"/>
        <w:ind w:left="7" w:right="166"/>
        <w:jc w:val="both"/>
        <w:rPr>
          <w:rFonts w:eastAsia="Times New Roman"/>
          <w:lang w:val="en-GB" w:eastAsia="en-US"/>
        </w:rPr>
      </w:pPr>
    </w:p>
    <w:p w14:paraId="1CC9FAD3" w14:textId="77777777" w:rsidR="002F6207" w:rsidRDefault="002F6207" w:rsidP="004C18E2">
      <w:pPr>
        <w:widowControl w:val="0"/>
        <w:spacing w:before="180" w:line="360" w:lineRule="auto"/>
        <w:ind w:left="7" w:right="166"/>
        <w:jc w:val="both"/>
        <w:rPr>
          <w:rFonts w:ascii="Times New Roman" w:eastAsia="Times New Roman" w:hAnsi="Times New Roman"/>
          <w:lang w:val="en-GB" w:eastAsia="en-US"/>
        </w:rPr>
        <w:sectPr w:rsidR="002F6207" w:rsidSect="003F7186">
          <w:headerReference w:type="first" r:id="rId29"/>
          <w:footerReference w:type="first" r:id="rId30"/>
          <w:type w:val="oddPage"/>
          <w:pgSz w:w="11906" w:h="16838" w:code="9"/>
          <w:pgMar w:top="1418" w:right="1134" w:bottom="1134" w:left="1134" w:header="709" w:footer="680" w:gutter="0"/>
          <w:pgNumType w:start="1"/>
          <w:cols w:space="708"/>
          <w:titlePg/>
          <w:docGrid w:linePitch="360"/>
        </w:sectPr>
      </w:pPr>
    </w:p>
    <w:p w14:paraId="2013F77C" w14:textId="77777777" w:rsidR="004C18E2" w:rsidRPr="004C18E2" w:rsidRDefault="004C18E2" w:rsidP="004C18E2">
      <w:pPr>
        <w:keepNext/>
        <w:spacing w:after="240"/>
        <w:outlineLvl w:val="2"/>
        <w:rPr>
          <w:rFonts w:eastAsia="Arial Unicode MS"/>
          <w:b/>
          <w:bCs/>
          <w:szCs w:val="22"/>
          <w:lang w:val="en-GB" w:eastAsia="en-US"/>
        </w:rPr>
      </w:pPr>
      <w:r w:rsidRPr="004C18E2">
        <w:rPr>
          <w:rFonts w:eastAsia="Arial Unicode MS"/>
          <w:b/>
          <w:bCs/>
          <w:szCs w:val="22"/>
          <w:lang w:val="en-GB" w:eastAsia="en-US"/>
        </w:rPr>
        <w:t>ANNEX 4: The StOR Template</w:t>
      </w:r>
    </w:p>
    <w:p w14:paraId="390A23E4" w14:textId="77777777" w:rsidR="004C18E2" w:rsidRPr="004C18E2" w:rsidRDefault="004C18E2" w:rsidP="004C18E2">
      <w:pPr>
        <w:widowControl w:val="0"/>
        <w:spacing w:before="180" w:line="360" w:lineRule="auto"/>
        <w:ind w:left="7" w:right="166"/>
        <w:jc w:val="both"/>
        <w:rPr>
          <w:rFonts w:eastAsia="Times New Roman"/>
          <w:b/>
          <w:sz w:val="24"/>
          <w:lang w:val="en-GB" w:eastAsia="en-US"/>
        </w:rPr>
      </w:pPr>
    </w:p>
    <w:p w14:paraId="550FC57B" w14:textId="77777777" w:rsidR="004C18E2" w:rsidRPr="004C18E2" w:rsidRDefault="004C18E2" w:rsidP="004C18E2">
      <w:pPr>
        <w:widowControl w:val="0"/>
        <w:spacing w:line="360" w:lineRule="auto"/>
        <w:ind w:left="6" w:right="164"/>
        <w:jc w:val="both"/>
        <w:rPr>
          <w:rFonts w:eastAsia="Times New Roman" w:cs="Arial"/>
          <w:b/>
          <w:sz w:val="24"/>
          <w:lang w:val="en-GB" w:eastAsia="en-US"/>
        </w:rPr>
      </w:pPr>
      <w:r w:rsidRPr="004C18E2">
        <w:rPr>
          <w:rFonts w:eastAsia="Times New Roman" w:cs="Arial"/>
          <w:b/>
          <w:sz w:val="24"/>
          <w:lang w:val="en-GB" w:eastAsia="en-US"/>
        </w:rPr>
        <w:t>Outcome X</w:t>
      </w:r>
    </w:p>
    <w:p w14:paraId="5917EFDA" w14:textId="77777777" w:rsidR="004C18E2" w:rsidRPr="004C18E2" w:rsidRDefault="004C18E2" w:rsidP="004C18E2">
      <w:pPr>
        <w:widowControl w:val="0"/>
        <w:spacing w:before="180"/>
        <w:ind w:left="7" w:right="166"/>
        <w:jc w:val="both"/>
        <w:rPr>
          <w:rFonts w:eastAsia="Times New Roman" w:cs="Arial"/>
          <w:b/>
          <w:i/>
          <w:lang w:val="en-GB" w:eastAsia="en-US"/>
        </w:rPr>
      </w:pPr>
      <w:r w:rsidRPr="004C18E2">
        <w:rPr>
          <w:rFonts w:eastAsia="Times New Roman" w:cs="Arial"/>
          <w:b/>
          <w:i/>
          <w:highlight w:val="lightGray"/>
          <w:lang w:val="en-GB" w:eastAsia="en-US"/>
        </w:rPr>
        <w:t>[Title]</w:t>
      </w:r>
      <w:r w:rsidRPr="004C18E2">
        <w:rPr>
          <w:rFonts w:eastAsia="Times New Roman" w:cs="Arial"/>
          <w:b/>
          <w:i/>
          <w:lang w:val="en-GB" w:eastAsia="en-US"/>
        </w:rPr>
        <w:t xml:space="preserve"> </w:t>
      </w:r>
      <w:r w:rsidRPr="004C18E2">
        <w:rPr>
          <w:rFonts w:eastAsia="Times New Roman" w:cs="Arial"/>
          <w:lang w:val="en-GB" w:eastAsia="en-US"/>
        </w:rPr>
        <w:t>maximum 80 characters</w:t>
      </w:r>
    </w:p>
    <w:p w14:paraId="065954D1"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lang w:val="en-GB" w:eastAsia="en-US"/>
        </w:rPr>
        <w:t xml:space="preserve">Authors: </w:t>
      </w:r>
      <w:r w:rsidRPr="004C18E2">
        <w:rPr>
          <w:rFonts w:eastAsia="Times New Roman" w:cs="Arial"/>
          <w:highlight w:val="lightGray"/>
          <w:lang w:val="en-GB" w:eastAsia="en-US"/>
        </w:rPr>
        <w:t>[name, first name</w:t>
      </w:r>
      <w:r w:rsidRPr="004C18E2">
        <w:rPr>
          <w:rFonts w:eastAsia="Times New Roman" w:cs="Arial"/>
          <w:highlight w:val="lightGray"/>
          <w:vertAlign w:val="superscript"/>
          <w:lang w:val="en-GB" w:eastAsia="en-US"/>
        </w:rPr>
        <w:t>1</w:t>
      </w:r>
      <w:r w:rsidRPr="004C18E2">
        <w:rPr>
          <w:rFonts w:eastAsia="Times New Roman" w:cs="Arial"/>
          <w:highlight w:val="lightGray"/>
          <w:lang w:val="en-GB" w:eastAsia="en-US"/>
        </w:rPr>
        <w:t>, name, first name</w:t>
      </w:r>
      <w:r w:rsidRPr="004C18E2">
        <w:rPr>
          <w:rFonts w:eastAsia="Times New Roman" w:cs="Arial"/>
          <w:highlight w:val="lightGray"/>
          <w:vertAlign w:val="superscript"/>
          <w:lang w:val="en-GB" w:eastAsia="en-US"/>
        </w:rPr>
        <w:t>2</w:t>
      </w:r>
      <w:r w:rsidRPr="004C18E2">
        <w:rPr>
          <w:rFonts w:eastAsia="Times New Roman" w:cs="Arial"/>
          <w:highlight w:val="lightGray"/>
          <w:lang w:val="en-GB" w:eastAsia="en-US"/>
        </w:rPr>
        <w:t>, ….]</w:t>
      </w:r>
    </w:p>
    <w:p w14:paraId="2C178881"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vertAlign w:val="superscript"/>
          <w:lang w:val="en-GB" w:eastAsia="en-US"/>
        </w:rPr>
        <w:t>1</w:t>
      </w:r>
      <w:r w:rsidRPr="004C18E2">
        <w:rPr>
          <w:rFonts w:eastAsia="Times New Roman" w:cs="Arial"/>
          <w:lang w:val="en-GB" w:eastAsia="en-US"/>
        </w:rPr>
        <w:t xml:space="preserve"> </w:t>
      </w:r>
      <w:r w:rsidRPr="004C18E2">
        <w:rPr>
          <w:rFonts w:eastAsia="Times New Roman" w:cs="Arial"/>
          <w:highlight w:val="lightGray"/>
          <w:lang w:val="en-GB" w:eastAsia="en-US"/>
        </w:rPr>
        <w:t>[Affiliation, Country, email corresponding author]</w:t>
      </w:r>
    </w:p>
    <w:p w14:paraId="1DDC87A5"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vertAlign w:val="superscript"/>
          <w:lang w:val="en-GB" w:eastAsia="en-US"/>
        </w:rPr>
        <w:t>2</w:t>
      </w:r>
      <w:r w:rsidRPr="004C18E2">
        <w:rPr>
          <w:rFonts w:eastAsia="Times New Roman" w:cs="Arial"/>
          <w:lang w:val="en-GB" w:eastAsia="en-US"/>
        </w:rPr>
        <w:t xml:space="preserve"> </w:t>
      </w:r>
      <w:r w:rsidRPr="004C18E2">
        <w:rPr>
          <w:rFonts w:eastAsia="Times New Roman" w:cs="Arial"/>
          <w:highlight w:val="lightGray"/>
          <w:lang w:val="en-GB" w:eastAsia="en-US"/>
        </w:rPr>
        <w:t>[Affiliation, country]</w:t>
      </w:r>
    </w:p>
    <w:p w14:paraId="304C830F" w14:textId="77777777" w:rsidR="004C18E2" w:rsidRPr="004C18E2" w:rsidRDefault="004C18E2" w:rsidP="004C18E2">
      <w:pPr>
        <w:widowControl w:val="0"/>
        <w:spacing w:before="180"/>
        <w:ind w:left="7" w:right="166"/>
        <w:jc w:val="both"/>
        <w:rPr>
          <w:rFonts w:eastAsia="Times New Roman" w:cs="Arial"/>
          <w:lang w:val="en-GB" w:eastAsia="en-US"/>
        </w:rPr>
      </w:pPr>
      <w:r w:rsidRPr="004C18E2">
        <w:rPr>
          <w:rFonts w:eastAsia="Times New Roman" w:cs="Arial"/>
          <w:highlight w:val="lightGray"/>
          <w:lang w:val="en-GB" w:eastAsia="en-US"/>
        </w:rPr>
        <w:t>[Intro text]</w:t>
      </w:r>
    </w:p>
    <w:p w14:paraId="024CA02F"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lang w:val="en-GB" w:eastAsia="en-US"/>
        </w:rPr>
        <w:t>150 words maximum</w:t>
      </w:r>
    </w:p>
    <w:p w14:paraId="50A9D45C" w14:textId="77777777" w:rsidR="004C18E2" w:rsidRPr="004C18E2" w:rsidRDefault="004C18E2" w:rsidP="004C18E2">
      <w:pPr>
        <w:widowControl w:val="0"/>
        <w:spacing w:before="180"/>
        <w:ind w:left="7" w:right="166"/>
        <w:jc w:val="both"/>
        <w:rPr>
          <w:rFonts w:eastAsia="Times New Roman" w:cs="Arial"/>
          <w:lang w:val="en-GB" w:eastAsia="en-US"/>
        </w:rPr>
      </w:pPr>
      <w:r w:rsidRPr="004C18E2">
        <w:rPr>
          <w:rFonts w:eastAsia="Times New Roman" w:cs="Arial"/>
          <w:highlight w:val="lightGray"/>
          <w:lang w:val="en-GB" w:eastAsia="en-US"/>
        </w:rPr>
        <w:t>[Description of findings, trends, status</w:t>
      </w:r>
      <w:r w:rsidRPr="004C18E2">
        <w:rPr>
          <w:rFonts w:eastAsia="Times New Roman" w:cs="Arial"/>
          <w:lang w:val="en-GB" w:eastAsia="en-US"/>
        </w:rPr>
        <w:t>]</w:t>
      </w:r>
    </w:p>
    <w:p w14:paraId="1E44AA7D"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lang w:val="en-GB" w:eastAsia="en-US"/>
        </w:rPr>
        <w:t>300 words maximum</w:t>
      </w:r>
    </w:p>
    <w:p w14:paraId="4B4D3874" w14:textId="77777777" w:rsidR="004C18E2" w:rsidRPr="004C18E2" w:rsidRDefault="004C18E2" w:rsidP="004C18E2">
      <w:pPr>
        <w:widowControl w:val="0"/>
        <w:spacing w:before="180"/>
        <w:ind w:left="7" w:right="166"/>
        <w:jc w:val="both"/>
        <w:rPr>
          <w:rFonts w:eastAsia="Times New Roman" w:cs="Arial"/>
          <w:lang w:val="en-GB" w:eastAsia="en-US"/>
        </w:rPr>
      </w:pPr>
      <w:r w:rsidRPr="004C18E2">
        <w:rPr>
          <w:rFonts w:eastAsia="Times New Roman" w:cs="Arial"/>
          <w:highlight w:val="lightGray"/>
          <w:lang w:val="en-GB" w:eastAsia="en-US"/>
        </w:rPr>
        <w:t>[Conclusion, next steps]</w:t>
      </w:r>
    </w:p>
    <w:p w14:paraId="6C7B9913"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lang w:val="en-GB" w:eastAsia="en-US"/>
        </w:rPr>
        <w:t>150 words maximum</w:t>
      </w:r>
    </w:p>
    <w:p w14:paraId="5CAC4D0F" w14:textId="77777777" w:rsidR="004C18E2" w:rsidRPr="004C18E2" w:rsidRDefault="004C18E2" w:rsidP="004C18E2">
      <w:pPr>
        <w:widowControl w:val="0"/>
        <w:ind w:left="6" w:right="164"/>
        <w:jc w:val="both"/>
        <w:rPr>
          <w:rFonts w:eastAsia="Times New Roman" w:cs="Arial"/>
          <w:lang w:val="en-GB" w:eastAsia="en-US"/>
        </w:rPr>
      </w:pPr>
    </w:p>
    <w:p w14:paraId="59152CA9" w14:textId="77777777" w:rsidR="004C18E2" w:rsidRPr="004C18E2" w:rsidRDefault="004C18E2" w:rsidP="004C18E2">
      <w:pPr>
        <w:widowControl w:val="0"/>
        <w:ind w:left="6" w:right="164"/>
        <w:jc w:val="both"/>
        <w:rPr>
          <w:rFonts w:eastAsia="Times New Roman" w:cs="Arial"/>
          <w:lang w:val="en-GB" w:eastAsia="en-US"/>
        </w:rPr>
      </w:pPr>
    </w:p>
    <w:p w14:paraId="1C5F4509"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lang w:val="en-GB" w:eastAsia="en-US"/>
        </w:rPr>
        <w:t xml:space="preserve">Figure </w:t>
      </w:r>
      <w:r w:rsidRPr="004C18E2">
        <w:rPr>
          <w:rFonts w:eastAsia="Times New Roman" w:cs="Arial"/>
          <w:highlight w:val="lightGray"/>
          <w:lang w:val="en-GB" w:eastAsia="en-US"/>
        </w:rPr>
        <w:t>[X]</w:t>
      </w:r>
      <w:r w:rsidRPr="004C18E2">
        <w:rPr>
          <w:rFonts w:eastAsia="Times New Roman" w:cs="Arial"/>
          <w:lang w:val="en-GB" w:eastAsia="en-US"/>
        </w:rPr>
        <w:t xml:space="preserve">. </w:t>
      </w:r>
      <w:r w:rsidRPr="004C18E2">
        <w:rPr>
          <w:rFonts w:eastAsia="Times New Roman" w:cs="Arial"/>
          <w:highlight w:val="lightGray"/>
          <w:lang w:val="en-GB" w:eastAsia="en-US"/>
        </w:rPr>
        <w:t>[caption text]</w:t>
      </w:r>
      <w:r w:rsidRPr="004C18E2">
        <w:rPr>
          <w:rFonts w:eastAsia="Times New Roman" w:cs="Arial"/>
          <w:lang w:val="en-GB" w:eastAsia="en-US"/>
        </w:rPr>
        <w:t xml:space="preserve">. </w:t>
      </w:r>
      <w:r w:rsidRPr="004C18E2">
        <w:rPr>
          <w:rFonts w:eastAsia="Times New Roman" w:cs="Arial"/>
          <w:i/>
          <w:lang w:val="en-GB" w:eastAsia="en-US"/>
        </w:rPr>
        <w:t>Source:</w:t>
      </w:r>
      <w:r w:rsidRPr="004C18E2">
        <w:rPr>
          <w:rFonts w:eastAsia="Times New Roman" w:cs="Arial"/>
          <w:lang w:val="en-GB" w:eastAsia="en-US"/>
        </w:rPr>
        <w:t xml:space="preserve"> </w:t>
      </w:r>
      <w:r w:rsidRPr="004C18E2">
        <w:rPr>
          <w:rFonts w:eastAsia="Times New Roman" w:cs="Arial"/>
          <w:highlight w:val="lightGray"/>
          <w:lang w:val="en-GB" w:eastAsia="en-US"/>
        </w:rPr>
        <w:t>[text]</w:t>
      </w:r>
      <w:r w:rsidRPr="004C18E2">
        <w:rPr>
          <w:rFonts w:eastAsia="Times New Roman" w:cs="Arial"/>
          <w:lang w:val="en-GB" w:eastAsia="en-US"/>
        </w:rPr>
        <w:t>.</w:t>
      </w:r>
    </w:p>
    <w:p w14:paraId="0DE8247E" w14:textId="77777777" w:rsidR="004C18E2" w:rsidRPr="004C18E2" w:rsidRDefault="004C18E2" w:rsidP="004C18E2">
      <w:pPr>
        <w:widowControl w:val="0"/>
        <w:ind w:left="6" w:right="164"/>
        <w:jc w:val="both"/>
        <w:rPr>
          <w:rFonts w:eastAsia="Times New Roman" w:cs="Arial"/>
          <w:lang w:val="en-GB" w:eastAsia="en-US"/>
        </w:rPr>
      </w:pPr>
    </w:p>
    <w:p w14:paraId="1DCCAE6C" w14:textId="77777777" w:rsidR="004C18E2" w:rsidRPr="004C18E2" w:rsidRDefault="004C18E2" w:rsidP="004C18E2">
      <w:pPr>
        <w:widowControl w:val="0"/>
        <w:ind w:left="6" w:right="164"/>
        <w:jc w:val="both"/>
        <w:rPr>
          <w:rFonts w:eastAsia="Times New Roman" w:cs="Arial"/>
          <w:lang w:val="en-GB" w:eastAsia="en-US"/>
        </w:rPr>
      </w:pPr>
    </w:p>
    <w:p w14:paraId="504C24FF" w14:textId="77777777" w:rsidR="004C18E2" w:rsidRPr="004C18E2" w:rsidRDefault="004C18E2" w:rsidP="004C18E2">
      <w:pPr>
        <w:widowControl w:val="0"/>
        <w:ind w:left="6" w:right="164"/>
        <w:jc w:val="both"/>
        <w:rPr>
          <w:rFonts w:eastAsia="Times New Roman" w:cs="Arial"/>
          <w:i/>
          <w:lang w:val="en-GB" w:eastAsia="en-US"/>
        </w:rPr>
      </w:pPr>
      <w:r w:rsidRPr="004C18E2">
        <w:rPr>
          <w:rFonts w:eastAsia="Times New Roman" w:cs="Arial"/>
          <w:i/>
          <w:lang w:val="en-GB" w:eastAsia="en-US"/>
        </w:rPr>
        <w:t>References</w:t>
      </w:r>
    </w:p>
    <w:p w14:paraId="14343A95"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lang w:val="en-GB" w:eastAsia="en-US"/>
        </w:rPr>
        <w:t>examples, authors are encouraged to focus on the main publications and apply the style below</w:t>
      </w:r>
    </w:p>
    <w:p w14:paraId="32B827D8" w14:textId="77777777" w:rsidR="004C18E2" w:rsidRPr="004C18E2" w:rsidRDefault="004C18E2" w:rsidP="004C18E2">
      <w:pPr>
        <w:widowControl w:val="0"/>
        <w:ind w:left="6" w:right="164"/>
        <w:jc w:val="both"/>
        <w:rPr>
          <w:rFonts w:eastAsia="Times New Roman" w:cs="Arial"/>
          <w:i/>
          <w:lang w:val="en-GB" w:eastAsia="en-US"/>
        </w:rPr>
      </w:pPr>
    </w:p>
    <w:p w14:paraId="5DDD4868" w14:textId="77777777" w:rsidR="004C18E2" w:rsidRPr="004C18E2" w:rsidRDefault="004C18E2" w:rsidP="004C18E2">
      <w:pPr>
        <w:widowControl w:val="0"/>
        <w:ind w:left="6" w:right="164"/>
        <w:jc w:val="both"/>
        <w:rPr>
          <w:rFonts w:eastAsia="Times New Roman" w:cs="Arial"/>
          <w:highlight w:val="lightGray"/>
          <w:lang w:val="en-GB" w:eastAsia="en-US"/>
        </w:rPr>
      </w:pPr>
      <w:r w:rsidRPr="004C18E2">
        <w:rPr>
          <w:rFonts w:eastAsia="Times New Roman" w:cs="Arial"/>
          <w:highlight w:val="lightGray"/>
          <w:lang w:val="da-DK" w:eastAsia="en-US"/>
        </w:rPr>
        <w:t>Friedlingstein, P., O’Sullivan, M., Jones, M. W., Andrew, R. M., et al</w:t>
      </w:r>
      <w:r w:rsidRPr="004C18E2">
        <w:rPr>
          <w:rFonts w:eastAsia="Times New Roman" w:cs="Arial"/>
          <w:i/>
          <w:highlight w:val="lightGray"/>
          <w:lang w:val="da-DK" w:eastAsia="en-US"/>
        </w:rPr>
        <w:t>.</w:t>
      </w:r>
      <w:r w:rsidRPr="004C18E2">
        <w:rPr>
          <w:rFonts w:eastAsia="Times New Roman" w:cs="Arial"/>
          <w:highlight w:val="lightGray"/>
          <w:lang w:val="da-DK" w:eastAsia="en-US"/>
        </w:rPr>
        <w:t xml:space="preserve"> 2020. </w:t>
      </w:r>
      <w:r w:rsidRPr="004C18E2">
        <w:rPr>
          <w:rFonts w:eastAsia="Times New Roman" w:cs="Arial"/>
          <w:highlight w:val="lightGray"/>
          <w:lang w:val="en-GB" w:eastAsia="en-US"/>
        </w:rPr>
        <w:t xml:space="preserve">Global Carbon Budget 2020. </w:t>
      </w:r>
      <w:r w:rsidRPr="004C18E2">
        <w:rPr>
          <w:rFonts w:eastAsia="Times New Roman" w:cs="Arial"/>
          <w:i/>
          <w:highlight w:val="lightGray"/>
          <w:lang w:val="en-GB" w:eastAsia="en-US"/>
        </w:rPr>
        <w:t>Earth System Science Data</w:t>
      </w:r>
      <w:r w:rsidRPr="004C18E2">
        <w:rPr>
          <w:rFonts w:eastAsia="Times New Roman" w:cs="Arial"/>
          <w:highlight w:val="lightGray"/>
          <w:lang w:val="en-GB" w:eastAsia="en-US"/>
        </w:rPr>
        <w:t>, Vol</w:t>
      </w:r>
      <w:r w:rsidRPr="004C18E2">
        <w:rPr>
          <w:rFonts w:eastAsia="Times New Roman" w:cs="Arial"/>
          <w:i/>
          <w:highlight w:val="lightGray"/>
          <w:lang w:val="en-GB" w:eastAsia="en-US"/>
        </w:rPr>
        <w:t>.</w:t>
      </w:r>
      <w:r w:rsidRPr="004C18E2">
        <w:rPr>
          <w:rFonts w:eastAsia="Times New Roman" w:cs="Arial"/>
          <w:highlight w:val="lightGray"/>
          <w:lang w:val="en-GB" w:eastAsia="en-US"/>
        </w:rPr>
        <w:t xml:space="preserve"> 12, pp. 3269–3340. </w:t>
      </w:r>
      <w:hyperlink r:id="rId31">
        <w:r w:rsidRPr="004C18E2">
          <w:rPr>
            <w:rFonts w:eastAsia="Times New Roman" w:cs="Arial"/>
            <w:color w:val="0000FF"/>
            <w:highlight w:val="lightGray"/>
            <w:u w:val="single"/>
            <w:lang w:val="en-GB" w:eastAsia="en-US"/>
          </w:rPr>
          <w:t>https://doi.org/10.5194/essd-12-3269-2020</w:t>
        </w:r>
      </w:hyperlink>
    </w:p>
    <w:p w14:paraId="0D2FADCD" w14:textId="77777777" w:rsidR="004C18E2" w:rsidRPr="004C18E2" w:rsidRDefault="004C18E2" w:rsidP="004C18E2">
      <w:pPr>
        <w:widowControl w:val="0"/>
        <w:ind w:left="6" w:right="164"/>
        <w:jc w:val="both"/>
        <w:rPr>
          <w:rFonts w:eastAsia="Times New Roman" w:cs="Arial"/>
          <w:highlight w:val="lightGray"/>
          <w:lang w:val="en-GB" w:eastAsia="en-US"/>
        </w:rPr>
      </w:pPr>
    </w:p>
    <w:p w14:paraId="792B5A26"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highlight w:val="lightGray"/>
          <w:lang w:val="en-GB" w:eastAsia="en-US"/>
        </w:rPr>
        <w:t xml:space="preserve">IPCC. 2019. </w:t>
      </w:r>
      <w:r w:rsidRPr="004C18E2">
        <w:rPr>
          <w:rFonts w:eastAsia="Times New Roman" w:cs="Arial"/>
          <w:i/>
          <w:highlight w:val="lightGray"/>
          <w:lang w:val="en-GB" w:eastAsia="en-US"/>
        </w:rPr>
        <w:t>IPCC Special Report on the Ocean and Cryosphere in a Changing Climate</w:t>
      </w:r>
      <w:r w:rsidRPr="004C18E2">
        <w:rPr>
          <w:rFonts w:eastAsia="Times New Roman" w:cs="Arial"/>
          <w:highlight w:val="lightGray"/>
          <w:lang w:val="en-GB" w:eastAsia="en-US"/>
        </w:rPr>
        <w:t xml:space="preserve">. (H.-O. Pörtner, D. C. Roberts, V. Masson-Delmotte, P. Zhai, M. Tignor, E. Poloczanska, K. Mintenbeck, A. Alegría, M. Nicolai, A. Okem, J. Petzold, B. Rama and N. M. Weyer (eds.)). In press. </w:t>
      </w:r>
      <w:hyperlink r:id="rId32">
        <w:r w:rsidRPr="004C18E2">
          <w:rPr>
            <w:rFonts w:eastAsia="Times New Roman" w:cs="Arial"/>
            <w:color w:val="0000FF"/>
            <w:highlight w:val="lightGray"/>
            <w:u w:val="single"/>
            <w:lang w:val="en-GB" w:eastAsia="en-US"/>
          </w:rPr>
          <w:t>https://www.ipcc.ch/srocc/</w:t>
        </w:r>
      </w:hyperlink>
    </w:p>
    <w:p w14:paraId="0F2E6B5A" w14:textId="77777777" w:rsidR="004C18E2" w:rsidRPr="004C18E2" w:rsidRDefault="004C18E2" w:rsidP="004C18E2">
      <w:pPr>
        <w:widowControl w:val="0"/>
        <w:ind w:left="6" w:right="164"/>
        <w:jc w:val="both"/>
        <w:rPr>
          <w:rFonts w:eastAsia="Times New Roman" w:cs="Arial"/>
          <w:lang w:val="en-GB" w:eastAsia="en-US"/>
        </w:rPr>
      </w:pPr>
    </w:p>
    <w:p w14:paraId="02D925CE" w14:textId="77777777" w:rsidR="004C18E2" w:rsidRPr="004C18E2" w:rsidRDefault="004C18E2" w:rsidP="004C18E2">
      <w:pPr>
        <w:widowControl w:val="0"/>
        <w:ind w:left="6" w:right="164"/>
        <w:jc w:val="both"/>
        <w:rPr>
          <w:rFonts w:eastAsia="Times New Roman" w:cs="Arial"/>
          <w:lang w:val="en-GB" w:eastAsia="en-US"/>
        </w:rPr>
      </w:pPr>
    </w:p>
    <w:p w14:paraId="5F8BF599" w14:textId="77777777" w:rsidR="004C18E2" w:rsidRPr="004C18E2" w:rsidRDefault="004C18E2" w:rsidP="004C18E2">
      <w:pPr>
        <w:widowControl w:val="0"/>
        <w:ind w:left="6" w:right="164"/>
        <w:jc w:val="both"/>
        <w:rPr>
          <w:rFonts w:eastAsia="Times New Roman" w:cs="Arial"/>
          <w:i/>
          <w:lang w:val="en-GB" w:eastAsia="en-US"/>
        </w:rPr>
      </w:pPr>
      <w:r w:rsidRPr="004C18E2">
        <w:rPr>
          <w:rFonts w:eastAsia="Times New Roman" w:cs="Arial"/>
          <w:i/>
          <w:lang w:val="en-GB" w:eastAsia="en-US"/>
        </w:rPr>
        <w:t>Additional resources</w:t>
      </w:r>
    </w:p>
    <w:p w14:paraId="1759DD68"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lang w:val="en-GB" w:eastAsia="en-US"/>
        </w:rPr>
        <w:t>maximum 3, follow the example</w:t>
      </w:r>
    </w:p>
    <w:p w14:paraId="6D8F9BB2" w14:textId="77777777" w:rsidR="004C18E2" w:rsidRPr="004C18E2" w:rsidRDefault="004C18E2" w:rsidP="004C18E2">
      <w:pPr>
        <w:widowControl w:val="0"/>
        <w:ind w:left="6" w:right="164"/>
        <w:jc w:val="both"/>
        <w:rPr>
          <w:rFonts w:eastAsia="Times New Roman" w:cs="Arial"/>
          <w:highlight w:val="lightGray"/>
          <w:lang w:val="en-GB" w:eastAsia="en-US"/>
        </w:rPr>
      </w:pPr>
      <w:r w:rsidRPr="004C18E2">
        <w:rPr>
          <w:rFonts w:eastAsia="Times New Roman" w:cs="Arial"/>
          <w:highlight w:val="lightGray"/>
          <w:lang w:val="en-GB" w:eastAsia="en-US"/>
        </w:rPr>
        <w:t xml:space="preserve">IOC SDG 14.3.1 protal </w:t>
      </w:r>
      <w:hyperlink r:id="rId33">
        <w:r w:rsidRPr="004C18E2">
          <w:rPr>
            <w:rFonts w:eastAsia="Times New Roman" w:cs="Arial"/>
            <w:color w:val="0000FF"/>
            <w:highlight w:val="lightGray"/>
            <w:u w:val="single"/>
            <w:lang w:val="en-GB" w:eastAsia="en-US"/>
          </w:rPr>
          <w:t>http://oa.iode.org</w:t>
        </w:r>
      </w:hyperlink>
    </w:p>
    <w:p w14:paraId="3954EF5B" w14:textId="77777777" w:rsidR="004C18E2" w:rsidRPr="004C18E2" w:rsidRDefault="004C18E2" w:rsidP="004C18E2">
      <w:pPr>
        <w:widowControl w:val="0"/>
        <w:ind w:left="6" w:right="164"/>
        <w:jc w:val="both"/>
        <w:rPr>
          <w:rFonts w:eastAsia="Times New Roman" w:cs="Arial"/>
          <w:highlight w:val="lightGray"/>
          <w:lang w:val="en-GB" w:eastAsia="en-US"/>
        </w:rPr>
      </w:pPr>
      <w:r w:rsidRPr="004C18E2">
        <w:rPr>
          <w:rFonts w:eastAsia="Times New Roman" w:cs="Arial"/>
          <w:highlight w:val="lightGray"/>
          <w:lang w:val="en-GB" w:eastAsia="en-US"/>
        </w:rPr>
        <w:t xml:space="preserve">Global Ocean Acidification Observing Network </w:t>
      </w:r>
      <w:hyperlink r:id="rId34">
        <w:r w:rsidRPr="004C18E2">
          <w:rPr>
            <w:rFonts w:eastAsia="Times New Roman" w:cs="Arial"/>
            <w:color w:val="0000FF"/>
            <w:highlight w:val="lightGray"/>
            <w:u w:val="single"/>
            <w:lang w:val="en-GB" w:eastAsia="en-US"/>
          </w:rPr>
          <w:t>http://goa-on.org</w:t>
        </w:r>
      </w:hyperlink>
    </w:p>
    <w:p w14:paraId="0A6F3AEC" w14:textId="77777777" w:rsidR="004C18E2" w:rsidRPr="004C18E2" w:rsidRDefault="004C18E2" w:rsidP="004C18E2">
      <w:pPr>
        <w:widowControl w:val="0"/>
        <w:ind w:left="6" w:right="164"/>
        <w:jc w:val="both"/>
        <w:rPr>
          <w:rFonts w:eastAsia="Times New Roman" w:cs="Arial"/>
          <w:lang w:val="en-GB" w:eastAsia="en-US"/>
        </w:rPr>
      </w:pPr>
      <w:r w:rsidRPr="004C18E2">
        <w:rPr>
          <w:rFonts w:eastAsia="Times New Roman" w:cs="Arial"/>
          <w:highlight w:val="lightGray"/>
          <w:lang w:val="en-GB" w:eastAsia="en-US"/>
        </w:rPr>
        <w:t xml:space="preserve">Ocean Acidification Research for Sustainability Ocean Decade Programme </w:t>
      </w:r>
      <w:hyperlink r:id="rId35">
        <w:r w:rsidRPr="004C18E2">
          <w:rPr>
            <w:rFonts w:eastAsia="Times New Roman" w:cs="Arial"/>
            <w:color w:val="0000FF"/>
            <w:highlight w:val="lightGray"/>
            <w:u w:val="single"/>
            <w:lang w:val="en-GB" w:eastAsia="en-US"/>
          </w:rPr>
          <w:t>http://goa-on.org/oars/overview.php</w:t>
        </w:r>
      </w:hyperlink>
    </w:p>
    <w:p w14:paraId="68342070" w14:textId="77777777" w:rsidR="004C18E2" w:rsidRPr="004C18E2" w:rsidRDefault="004C18E2" w:rsidP="004C18E2">
      <w:pPr>
        <w:widowControl w:val="0"/>
        <w:ind w:left="6" w:right="164"/>
        <w:jc w:val="both"/>
        <w:rPr>
          <w:rFonts w:ascii="Times New Roman" w:eastAsia="Times New Roman" w:hAnsi="Times New Roman"/>
          <w:lang w:val="en-GB" w:eastAsia="en-US"/>
        </w:rPr>
      </w:pPr>
    </w:p>
    <w:p w14:paraId="32CD4513" w14:textId="77777777" w:rsidR="004C18E2" w:rsidRPr="004C18E2" w:rsidRDefault="004C18E2" w:rsidP="004C18E2">
      <w:pPr>
        <w:widowControl w:val="0"/>
        <w:ind w:left="6" w:right="164"/>
        <w:jc w:val="both"/>
        <w:rPr>
          <w:rFonts w:ascii="Times New Roman" w:eastAsia="Times New Roman" w:hAnsi="Times New Roman"/>
          <w:lang w:val="en-GB" w:eastAsia="en-US"/>
        </w:rPr>
      </w:pPr>
    </w:p>
    <w:p w14:paraId="07DFC252" w14:textId="77777777" w:rsidR="004C18E2" w:rsidRPr="004C18E2" w:rsidRDefault="004C18E2" w:rsidP="004C18E2">
      <w:pPr>
        <w:widowControl w:val="0"/>
        <w:ind w:left="6" w:right="164"/>
        <w:jc w:val="both"/>
        <w:rPr>
          <w:rFonts w:eastAsia="Times New Roman" w:cs="Arial"/>
          <w:b/>
          <w:lang w:val="en-GB" w:eastAsia="en-US"/>
        </w:rPr>
      </w:pPr>
      <w:r w:rsidRPr="004C18E2">
        <w:rPr>
          <w:rFonts w:eastAsia="Times New Roman" w:cs="Arial"/>
          <w:b/>
          <w:lang w:val="en-GB" w:eastAsia="en-US"/>
        </w:rPr>
        <w:t>Additional guidance:</w:t>
      </w:r>
    </w:p>
    <w:p w14:paraId="2E2E8427" w14:textId="77777777" w:rsidR="004C18E2" w:rsidRPr="004C18E2" w:rsidRDefault="004C18E2" w:rsidP="004C18E2">
      <w:pPr>
        <w:widowControl w:val="0"/>
        <w:numPr>
          <w:ilvl w:val="0"/>
          <w:numId w:val="48"/>
        </w:numPr>
        <w:tabs>
          <w:tab w:val="clear" w:pos="567"/>
        </w:tabs>
        <w:snapToGrid/>
        <w:ind w:right="164"/>
        <w:jc w:val="both"/>
        <w:rPr>
          <w:rFonts w:eastAsia="Times New Roman" w:cs="Arial"/>
          <w:lang w:val="en-GB" w:eastAsia="en-US"/>
        </w:rPr>
      </w:pPr>
      <w:r w:rsidRPr="004C18E2">
        <w:rPr>
          <w:rFonts w:eastAsia="Times New Roman" w:cs="Arial"/>
          <w:lang w:val="en-GB" w:eastAsia="en-US"/>
        </w:rPr>
        <w:t>Number of figures maximum 2</w:t>
      </w:r>
    </w:p>
    <w:p w14:paraId="4990A721" w14:textId="77777777" w:rsidR="004C18E2" w:rsidRPr="004C18E2" w:rsidRDefault="004C18E2" w:rsidP="004C18E2">
      <w:pPr>
        <w:widowControl w:val="0"/>
        <w:numPr>
          <w:ilvl w:val="0"/>
          <w:numId w:val="48"/>
        </w:numPr>
        <w:tabs>
          <w:tab w:val="clear" w:pos="567"/>
        </w:tabs>
        <w:snapToGrid/>
        <w:ind w:right="164"/>
        <w:jc w:val="both"/>
        <w:rPr>
          <w:rFonts w:eastAsia="Times New Roman" w:cs="Arial"/>
          <w:lang w:val="en-GB" w:eastAsia="en-US"/>
        </w:rPr>
      </w:pPr>
      <w:r w:rsidRPr="004C18E2">
        <w:rPr>
          <w:rFonts w:eastAsia="Times New Roman" w:cs="Arial"/>
          <w:lang w:val="en-GB" w:eastAsia="en-US"/>
        </w:rPr>
        <w:t>Footnotes should be avoided</w:t>
      </w:r>
    </w:p>
    <w:p w14:paraId="4D688A75" w14:textId="77777777" w:rsidR="004C18E2" w:rsidRDefault="004C18E2" w:rsidP="004C18E2">
      <w:pPr>
        <w:widowControl w:val="0"/>
        <w:pBdr>
          <w:top w:val="nil"/>
          <w:left w:val="nil"/>
          <w:bottom w:val="nil"/>
          <w:right w:val="nil"/>
          <w:between w:val="nil"/>
        </w:pBdr>
        <w:spacing w:before="180"/>
        <w:ind w:left="2648"/>
        <w:rPr>
          <w:rFonts w:ascii="Times New Roman" w:eastAsia="Times New Roman" w:hAnsi="Times New Roman"/>
          <w:b/>
          <w:sz w:val="28"/>
          <w:szCs w:val="28"/>
          <w:lang w:val="en-GB" w:eastAsia="en-US"/>
        </w:rPr>
      </w:pPr>
    </w:p>
    <w:p w14:paraId="4F65D2C5" w14:textId="77777777" w:rsidR="002F6207" w:rsidRDefault="002F6207" w:rsidP="004C18E2">
      <w:pPr>
        <w:tabs>
          <w:tab w:val="clear" w:pos="567"/>
        </w:tabs>
        <w:snapToGrid/>
        <w:rPr>
          <w:rFonts w:eastAsia="Arial Unicode MS"/>
          <w:b/>
          <w:bCs/>
          <w:szCs w:val="22"/>
          <w:lang w:val="en-GB" w:eastAsia="en-US"/>
        </w:rPr>
        <w:sectPr w:rsidR="002F6207" w:rsidSect="003F7186">
          <w:headerReference w:type="first" r:id="rId36"/>
          <w:footerReference w:type="first" r:id="rId37"/>
          <w:type w:val="oddPage"/>
          <w:pgSz w:w="11906" w:h="16838" w:code="9"/>
          <w:pgMar w:top="1418" w:right="1134" w:bottom="1134" w:left="1134" w:header="709" w:footer="680" w:gutter="0"/>
          <w:pgNumType w:start="1"/>
          <w:cols w:space="708"/>
          <w:titlePg/>
          <w:docGrid w:linePitch="360"/>
        </w:sectPr>
      </w:pPr>
    </w:p>
    <w:p w14:paraId="64D0BCAE" w14:textId="77777777" w:rsidR="004C18E2" w:rsidRPr="004C18E2" w:rsidRDefault="004C18E2" w:rsidP="004C18E2">
      <w:pPr>
        <w:keepNext/>
        <w:spacing w:after="240"/>
        <w:outlineLvl w:val="2"/>
        <w:rPr>
          <w:rFonts w:eastAsia="Arial Unicode MS"/>
          <w:b/>
          <w:bCs/>
          <w:szCs w:val="22"/>
          <w:lang w:val="en-GB" w:eastAsia="en-US"/>
        </w:rPr>
      </w:pPr>
      <w:r w:rsidRPr="004C18E2">
        <w:rPr>
          <w:rFonts w:eastAsia="Arial Unicode MS"/>
          <w:b/>
          <w:bCs/>
          <w:szCs w:val="22"/>
          <w:lang w:val="en-GB" w:eastAsia="en-US"/>
        </w:rPr>
        <w:t>Annex 5: Timeline for the preparation of the StOR to be published in 2024</w:t>
      </w:r>
    </w:p>
    <w:p w14:paraId="36E342DE" w14:textId="77777777" w:rsidR="004C18E2" w:rsidRPr="004C18E2" w:rsidRDefault="004C18E2" w:rsidP="004C18E2">
      <w:pPr>
        <w:widowControl w:val="0"/>
        <w:pBdr>
          <w:top w:val="nil"/>
          <w:left w:val="nil"/>
          <w:bottom w:val="nil"/>
          <w:right w:val="nil"/>
          <w:between w:val="nil"/>
        </w:pBdr>
        <w:spacing w:line="360" w:lineRule="auto"/>
        <w:ind w:left="369"/>
        <w:rPr>
          <w:rFonts w:ascii="Calibri" w:eastAsia="Calibri" w:hAnsi="Calibri" w:cs="Calibri"/>
          <w:b/>
          <w:color w:val="000000"/>
          <w:sz w:val="24"/>
          <w:lang w:val="en-GB" w:eastAsia="en-US"/>
        </w:rPr>
      </w:pPr>
    </w:p>
    <w:tbl>
      <w:tblPr>
        <w:tblW w:w="962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6662"/>
      </w:tblGrid>
      <w:tr w:rsidR="004C18E2" w:rsidRPr="004C18E2" w14:paraId="3EF38B6B" w14:textId="77777777" w:rsidTr="00F807C5">
        <w:trPr>
          <w:trHeight w:val="515"/>
        </w:trPr>
        <w:tc>
          <w:tcPr>
            <w:tcW w:w="2965" w:type="dxa"/>
            <w:vAlign w:val="center"/>
          </w:tcPr>
          <w:p w14:paraId="47890874" w14:textId="77777777" w:rsidR="004C18E2" w:rsidRPr="004C18E2" w:rsidRDefault="004C18E2" w:rsidP="004C18E2">
            <w:pPr>
              <w:widowControl w:val="0"/>
              <w:spacing w:line="360" w:lineRule="auto"/>
              <w:ind w:right="164"/>
              <w:jc w:val="center"/>
              <w:rPr>
                <w:rFonts w:eastAsia="Times New Roman"/>
                <w:b/>
                <w:color w:val="000000"/>
                <w:lang w:val="en-GB" w:eastAsia="en-US"/>
              </w:rPr>
            </w:pPr>
            <w:r w:rsidRPr="004C18E2">
              <w:rPr>
                <w:rFonts w:eastAsia="Times New Roman"/>
                <w:b/>
                <w:color w:val="000000"/>
                <w:lang w:val="en-GB" w:eastAsia="en-US"/>
              </w:rPr>
              <w:t>Timeline</w:t>
            </w:r>
          </w:p>
        </w:tc>
        <w:tc>
          <w:tcPr>
            <w:tcW w:w="6662" w:type="dxa"/>
            <w:vAlign w:val="center"/>
          </w:tcPr>
          <w:p w14:paraId="6F1620C1" w14:textId="77777777" w:rsidR="004C18E2" w:rsidRPr="004C18E2" w:rsidRDefault="004C18E2" w:rsidP="004C18E2">
            <w:pPr>
              <w:widowControl w:val="0"/>
              <w:spacing w:line="360" w:lineRule="auto"/>
              <w:ind w:right="164"/>
              <w:jc w:val="center"/>
              <w:rPr>
                <w:rFonts w:eastAsia="Times New Roman"/>
                <w:b/>
                <w:color w:val="000000"/>
                <w:lang w:val="en-GB" w:eastAsia="en-US"/>
              </w:rPr>
            </w:pPr>
            <w:r w:rsidRPr="004C18E2">
              <w:rPr>
                <w:rFonts w:eastAsia="Times New Roman"/>
                <w:b/>
                <w:color w:val="000000"/>
                <w:lang w:val="en-GB" w:eastAsia="en-US"/>
              </w:rPr>
              <w:t>Actions</w:t>
            </w:r>
          </w:p>
        </w:tc>
      </w:tr>
      <w:tr w:rsidR="004C18E2" w:rsidRPr="004C18E2" w14:paraId="1003E8A5" w14:textId="77777777" w:rsidTr="00F807C5">
        <w:trPr>
          <w:trHeight w:val="719"/>
        </w:trPr>
        <w:tc>
          <w:tcPr>
            <w:tcW w:w="2965" w:type="dxa"/>
            <w:vAlign w:val="center"/>
          </w:tcPr>
          <w:p w14:paraId="203852BA" w14:textId="77777777" w:rsidR="004C18E2" w:rsidRPr="004C18E2" w:rsidRDefault="004C18E2" w:rsidP="004C18E2">
            <w:pPr>
              <w:widowControl w:val="0"/>
              <w:spacing w:line="360" w:lineRule="auto"/>
              <w:ind w:right="164"/>
              <w:jc w:val="center"/>
              <w:rPr>
                <w:rFonts w:eastAsia="Times New Roman" w:cs="Arial"/>
                <w:color w:val="000000"/>
                <w:sz w:val="20"/>
                <w:szCs w:val="20"/>
                <w:lang w:val="en-GB" w:eastAsia="en-US"/>
              </w:rPr>
            </w:pPr>
            <w:r w:rsidRPr="004C18E2">
              <w:rPr>
                <w:rFonts w:eastAsia="Times New Roman" w:cs="Arial"/>
                <w:color w:val="000000"/>
                <w:sz w:val="20"/>
                <w:szCs w:val="20"/>
                <w:lang w:val="en-GB" w:eastAsia="en-US"/>
              </w:rPr>
              <w:t>July – September 2022</w:t>
            </w:r>
          </w:p>
        </w:tc>
        <w:tc>
          <w:tcPr>
            <w:tcW w:w="6662" w:type="dxa"/>
            <w:vAlign w:val="center"/>
          </w:tcPr>
          <w:p w14:paraId="2BCA6EA8"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sz w:val="20"/>
                <w:lang w:val="en-GB" w:eastAsia="en-US"/>
              </w:rPr>
              <w:t>Member</w:t>
            </w:r>
            <w:r w:rsidRPr="004C18E2">
              <w:rPr>
                <w:rFonts w:eastAsia="Times New Roman" w:cs="Arial"/>
                <w:color w:val="000000"/>
                <w:sz w:val="20"/>
                <w:szCs w:val="20"/>
                <w:lang w:val="en-GB" w:eastAsia="en-US"/>
              </w:rPr>
              <w:t xml:space="preserve"> States consultation on the StOR </w:t>
            </w:r>
          </w:p>
        </w:tc>
      </w:tr>
      <w:tr w:rsidR="004C18E2" w:rsidRPr="004C18E2" w14:paraId="291FCD36" w14:textId="77777777" w:rsidTr="00F807C5">
        <w:trPr>
          <w:trHeight w:val="719"/>
        </w:trPr>
        <w:tc>
          <w:tcPr>
            <w:tcW w:w="2965" w:type="dxa"/>
            <w:vAlign w:val="center"/>
          </w:tcPr>
          <w:p w14:paraId="0100AB9B" w14:textId="77777777" w:rsidR="004C18E2" w:rsidRPr="004C18E2" w:rsidRDefault="004C18E2" w:rsidP="004C18E2">
            <w:pPr>
              <w:widowControl w:val="0"/>
              <w:spacing w:line="360" w:lineRule="auto"/>
              <w:ind w:right="164"/>
              <w:jc w:val="center"/>
              <w:rPr>
                <w:rFonts w:eastAsia="Times New Roman" w:cs="Arial"/>
                <w:color w:val="000000"/>
                <w:sz w:val="20"/>
                <w:szCs w:val="20"/>
                <w:lang w:val="en-GB" w:eastAsia="en-US"/>
              </w:rPr>
            </w:pPr>
            <w:r w:rsidRPr="004C18E2">
              <w:rPr>
                <w:rFonts w:eastAsia="Times New Roman" w:cs="Arial"/>
                <w:color w:val="000000"/>
                <w:sz w:val="20"/>
                <w:szCs w:val="20"/>
                <w:lang w:val="en-GB" w:eastAsia="en-US"/>
              </w:rPr>
              <w:t>October – December 2022</w:t>
            </w:r>
          </w:p>
        </w:tc>
        <w:tc>
          <w:tcPr>
            <w:tcW w:w="6662" w:type="dxa"/>
            <w:vAlign w:val="center"/>
          </w:tcPr>
          <w:p w14:paraId="11C40C7D"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cs="Arial"/>
                <w:color w:val="000000"/>
                <w:sz w:val="20"/>
                <w:szCs w:val="20"/>
                <w:lang w:val="en-GB" w:eastAsia="en-US"/>
              </w:rPr>
              <w:t xml:space="preserve">Analysis of </w:t>
            </w:r>
            <w:r w:rsidRPr="004C18E2">
              <w:rPr>
                <w:rFonts w:eastAsia="Times New Roman"/>
                <w:sz w:val="20"/>
                <w:lang w:val="en-GB" w:eastAsia="en-US"/>
              </w:rPr>
              <w:t>the</w:t>
            </w:r>
            <w:r w:rsidRPr="004C18E2">
              <w:rPr>
                <w:rFonts w:eastAsia="Times New Roman" w:cs="Arial"/>
                <w:color w:val="000000"/>
                <w:sz w:val="20"/>
                <w:szCs w:val="20"/>
                <w:lang w:val="en-GB" w:eastAsia="en-US"/>
              </w:rPr>
              <w:t xml:space="preserve"> consultation result</w:t>
            </w:r>
          </w:p>
        </w:tc>
      </w:tr>
      <w:tr w:rsidR="004C18E2" w:rsidRPr="004C18E2" w14:paraId="5CDCBE7F" w14:textId="77777777" w:rsidTr="00F807C5">
        <w:trPr>
          <w:trHeight w:val="719"/>
        </w:trPr>
        <w:tc>
          <w:tcPr>
            <w:tcW w:w="2965" w:type="dxa"/>
            <w:vAlign w:val="center"/>
          </w:tcPr>
          <w:p w14:paraId="44105FA1" w14:textId="77777777" w:rsidR="004C18E2" w:rsidRPr="004C18E2" w:rsidRDefault="004C18E2" w:rsidP="004C18E2">
            <w:pPr>
              <w:widowControl w:val="0"/>
              <w:spacing w:line="360" w:lineRule="auto"/>
              <w:ind w:right="164"/>
              <w:jc w:val="center"/>
              <w:rPr>
                <w:rFonts w:eastAsia="Times New Roman" w:cs="Arial"/>
                <w:color w:val="000000"/>
                <w:sz w:val="20"/>
                <w:szCs w:val="20"/>
                <w:lang w:val="en-GB" w:eastAsia="en-US"/>
              </w:rPr>
            </w:pPr>
            <w:r w:rsidRPr="004C18E2">
              <w:rPr>
                <w:rFonts w:eastAsia="Times New Roman" w:cs="Arial"/>
                <w:sz w:val="20"/>
                <w:szCs w:val="20"/>
                <w:lang w:val="en-GB" w:eastAsia="en-US"/>
              </w:rPr>
              <w:t>January 2023</w:t>
            </w:r>
          </w:p>
        </w:tc>
        <w:tc>
          <w:tcPr>
            <w:tcW w:w="6662" w:type="dxa"/>
            <w:vAlign w:val="center"/>
          </w:tcPr>
          <w:p w14:paraId="43317EDD"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cs="Arial"/>
                <w:sz w:val="20"/>
                <w:szCs w:val="20"/>
                <w:lang w:val="en-GB" w:eastAsia="en-US"/>
              </w:rPr>
              <w:t>Presentation of revised concept note for the StOR – second edition to IOC officers</w:t>
            </w:r>
          </w:p>
        </w:tc>
      </w:tr>
      <w:tr w:rsidR="004C18E2" w:rsidRPr="004C18E2" w14:paraId="5FE3833D" w14:textId="77777777" w:rsidTr="00F807C5">
        <w:trPr>
          <w:trHeight w:val="719"/>
        </w:trPr>
        <w:tc>
          <w:tcPr>
            <w:tcW w:w="2965" w:type="dxa"/>
            <w:vAlign w:val="center"/>
          </w:tcPr>
          <w:p w14:paraId="1B8502A7" w14:textId="77777777" w:rsidR="004C18E2" w:rsidRPr="004C18E2" w:rsidRDefault="004C18E2" w:rsidP="004C18E2">
            <w:pPr>
              <w:widowControl w:val="0"/>
              <w:spacing w:line="360" w:lineRule="auto"/>
              <w:ind w:right="164"/>
              <w:jc w:val="center"/>
              <w:rPr>
                <w:rFonts w:eastAsia="Times New Roman" w:cs="Arial"/>
                <w:color w:val="000000"/>
                <w:sz w:val="20"/>
                <w:szCs w:val="20"/>
                <w:lang w:val="en-GB" w:eastAsia="en-US"/>
              </w:rPr>
            </w:pPr>
            <w:r w:rsidRPr="004C18E2">
              <w:rPr>
                <w:rFonts w:eastAsia="Times New Roman" w:cs="Arial"/>
                <w:sz w:val="20"/>
                <w:szCs w:val="20"/>
                <w:lang w:val="en-GB" w:eastAsia="en-US"/>
              </w:rPr>
              <w:t>January – March 2023</w:t>
            </w:r>
          </w:p>
        </w:tc>
        <w:tc>
          <w:tcPr>
            <w:tcW w:w="6662" w:type="dxa"/>
            <w:vAlign w:val="center"/>
          </w:tcPr>
          <w:p w14:paraId="58C38573" w14:textId="77777777" w:rsidR="004C18E2" w:rsidRPr="004C18E2" w:rsidRDefault="004C18E2" w:rsidP="004C18E2">
            <w:pPr>
              <w:widowControl w:val="0"/>
              <w:numPr>
                <w:ilvl w:val="0"/>
                <w:numId w:val="46"/>
              </w:numPr>
              <w:tabs>
                <w:tab w:val="clear" w:pos="567"/>
              </w:tabs>
              <w:snapToGrid/>
              <w:spacing w:line="360" w:lineRule="auto"/>
              <w:ind w:right="164"/>
              <w:jc w:val="both"/>
              <w:rPr>
                <w:rFonts w:eastAsia="Times New Roman" w:cs="Arial"/>
                <w:sz w:val="20"/>
                <w:szCs w:val="20"/>
                <w:lang w:val="en-GB" w:eastAsia="en-US"/>
              </w:rPr>
            </w:pPr>
            <w:r w:rsidRPr="004C18E2">
              <w:rPr>
                <w:rFonts w:eastAsia="Times New Roman" w:cs="Arial"/>
                <w:sz w:val="20"/>
                <w:szCs w:val="20"/>
                <w:lang w:val="en-GB" w:eastAsia="en-US"/>
              </w:rPr>
              <w:t>Formation of StOR Advisory Board</w:t>
            </w:r>
          </w:p>
        </w:tc>
      </w:tr>
      <w:tr w:rsidR="004C18E2" w:rsidRPr="004C18E2" w14:paraId="0839D38B" w14:textId="77777777" w:rsidTr="00F807C5">
        <w:trPr>
          <w:trHeight w:val="719"/>
        </w:trPr>
        <w:tc>
          <w:tcPr>
            <w:tcW w:w="2965" w:type="dxa"/>
            <w:vAlign w:val="center"/>
          </w:tcPr>
          <w:p w14:paraId="362E9BAB" w14:textId="77777777" w:rsidR="004C18E2" w:rsidRPr="004C18E2" w:rsidRDefault="004C18E2" w:rsidP="004C18E2">
            <w:pPr>
              <w:widowControl w:val="0"/>
              <w:spacing w:line="360" w:lineRule="auto"/>
              <w:ind w:right="164"/>
              <w:jc w:val="center"/>
              <w:rPr>
                <w:rFonts w:eastAsia="Times New Roman" w:cs="Arial"/>
                <w:color w:val="000000"/>
                <w:sz w:val="20"/>
                <w:szCs w:val="20"/>
                <w:lang w:val="en-GB" w:eastAsia="en-US"/>
              </w:rPr>
            </w:pPr>
            <w:r w:rsidRPr="004C18E2">
              <w:rPr>
                <w:rFonts w:eastAsia="Times New Roman" w:cs="Arial"/>
                <w:sz w:val="20"/>
                <w:szCs w:val="20"/>
                <w:lang w:val="en-GB" w:eastAsia="en-US"/>
              </w:rPr>
              <w:t>April – June 2023</w:t>
            </w:r>
          </w:p>
        </w:tc>
        <w:tc>
          <w:tcPr>
            <w:tcW w:w="6662" w:type="dxa"/>
            <w:vAlign w:val="center"/>
          </w:tcPr>
          <w:p w14:paraId="3516C72A"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cs="Arial"/>
                <w:sz w:val="20"/>
                <w:szCs w:val="20"/>
                <w:lang w:val="en-GB" w:eastAsia="en-US"/>
              </w:rPr>
              <w:t>Consultations of the StOR Advisory Board, definitions of storyline topics</w:t>
            </w:r>
          </w:p>
          <w:p w14:paraId="45E35A25" w14:textId="77777777" w:rsidR="004C18E2" w:rsidRPr="004C18E2" w:rsidRDefault="004C18E2" w:rsidP="004C18E2">
            <w:pPr>
              <w:widowControl w:val="0"/>
              <w:numPr>
                <w:ilvl w:val="0"/>
                <w:numId w:val="46"/>
              </w:numPr>
              <w:tabs>
                <w:tab w:val="clear" w:pos="567"/>
              </w:tabs>
              <w:snapToGrid/>
              <w:spacing w:line="360" w:lineRule="auto"/>
              <w:ind w:right="164"/>
              <w:jc w:val="both"/>
              <w:rPr>
                <w:rFonts w:eastAsia="Times New Roman" w:cs="Arial"/>
                <w:sz w:val="20"/>
                <w:szCs w:val="20"/>
                <w:lang w:val="en-GB" w:eastAsia="en-US"/>
              </w:rPr>
            </w:pPr>
            <w:r w:rsidRPr="004C18E2">
              <w:rPr>
                <w:rFonts w:eastAsia="Times New Roman" w:cs="Arial"/>
                <w:sz w:val="20"/>
                <w:szCs w:val="20"/>
                <w:lang w:val="en-GB" w:eastAsia="en-US"/>
              </w:rPr>
              <w:t>Drafting initial structure and topics of the report in consultation with the StOR Advisory Board</w:t>
            </w:r>
          </w:p>
          <w:p w14:paraId="3E0606A6"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cs="Arial"/>
                <w:color w:val="000000"/>
                <w:sz w:val="20"/>
                <w:szCs w:val="20"/>
                <w:lang w:val="en-GB" w:eastAsia="en-US"/>
              </w:rPr>
              <w:t xml:space="preserve">Inviting inputs from UN agencies and experts </w:t>
            </w:r>
          </w:p>
        </w:tc>
      </w:tr>
      <w:tr w:rsidR="004C18E2" w:rsidRPr="004C18E2" w14:paraId="44308490" w14:textId="77777777" w:rsidTr="00F807C5">
        <w:trPr>
          <w:trHeight w:val="719"/>
        </w:trPr>
        <w:tc>
          <w:tcPr>
            <w:tcW w:w="2965" w:type="dxa"/>
            <w:vAlign w:val="center"/>
          </w:tcPr>
          <w:p w14:paraId="2D7528AE" w14:textId="77777777" w:rsidR="004C18E2" w:rsidRPr="004C18E2" w:rsidRDefault="004C18E2" w:rsidP="004C18E2">
            <w:pPr>
              <w:widowControl w:val="0"/>
              <w:spacing w:line="360" w:lineRule="auto"/>
              <w:ind w:right="164"/>
              <w:jc w:val="center"/>
              <w:rPr>
                <w:rFonts w:eastAsia="Times New Roman" w:cs="Arial"/>
                <w:color w:val="000000"/>
                <w:sz w:val="20"/>
                <w:szCs w:val="20"/>
                <w:lang w:val="en-GB" w:eastAsia="en-US"/>
              </w:rPr>
            </w:pPr>
            <w:r w:rsidRPr="004C18E2">
              <w:rPr>
                <w:rFonts w:eastAsia="Times New Roman" w:cs="Arial"/>
                <w:color w:val="000000"/>
                <w:sz w:val="20"/>
                <w:szCs w:val="20"/>
                <w:lang w:val="en-GB" w:eastAsia="en-US"/>
              </w:rPr>
              <w:t>June 2023</w:t>
            </w:r>
          </w:p>
        </w:tc>
        <w:tc>
          <w:tcPr>
            <w:tcW w:w="6662" w:type="dxa"/>
            <w:vAlign w:val="center"/>
          </w:tcPr>
          <w:p w14:paraId="02A662FF"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cs="Arial"/>
                <w:color w:val="000000"/>
                <w:sz w:val="20"/>
                <w:szCs w:val="20"/>
                <w:lang w:val="en-GB" w:eastAsia="en-US"/>
              </w:rPr>
              <w:t>Presentation of the revised concept note of future StOR editions at the 32nd session of the IOC Assembly</w:t>
            </w:r>
          </w:p>
        </w:tc>
      </w:tr>
      <w:tr w:rsidR="004C18E2" w:rsidRPr="004C18E2" w14:paraId="6979D1AE" w14:textId="77777777" w:rsidTr="00F807C5">
        <w:trPr>
          <w:trHeight w:val="719"/>
        </w:trPr>
        <w:tc>
          <w:tcPr>
            <w:tcW w:w="2965" w:type="dxa"/>
            <w:vAlign w:val="center"/>
          </w:tcPr>
          <w:p w14:paraId="145A5D70" w14:textId="77777777" w:rsidR="004C18E2" w:rsidRPr="004C18E2" w:rsidRDefault="004C18E2" w:rsidP="004C18E2">
            <w:pPr>
              <w:widowControl w:val="0"/>
              <w:spacing w:line="360" w:lineRule="auto"/>
              <w:ind w:right="164"/>
              <w:jc w:val="center"/>
              <w:rPr>
                <w:rFonts w:eastAsia="Times New Roman" w:cs="Arial"/>
                <w:color w:val="000000"/>
                <w:sz w:val="20"/>
                <w:szCs w:val="20"/>
                <w:lang w:val="en-GB" w:eastAsia="en-US"/>
              </w:rPr>
            </w:pPr>
            <w:r w:rsidRPr="004C18E2">
              <w:rPr>
                <w:rFonts w:eastAsia="Times New Roman" w:cs="Arial"/>
                <w:color w:val="000000"/>
                <w:sz w:val="20"/>
                <w:szCs w:val="20"/>
                <w:lang w:val="en-GB" w:eastAsia="en-US"/>
              </w:rPr>
              <w:t>September 2023</w:t>
            </w:r>
          </w:p>
        </w:tc>
        <w:tc>
          <w:tcPr>
            <w:tcW w:w="6662" w:type="dxa"/>
            <w:vAlign w:val="center"/>
          </w:tcPr>
          <w:p w14:paraId="69BF42FD"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cs="Arial"/>
                <w:sz w:val="20"/>
                <w:szCs w:val="20"/>
                <w:lang w:val="en-GB" w:eastAsia="en-US"/>
              </w:rPr>
              <w:t>Deadline to receive contributions by UN agencies and expert working groups towards the second edition of the</w:t>
            </w:r>
            <w:r w:rsidRPr="004C18E2">
              <w:rPr>
                <w:rFonts w:eastAsia="Times New Roman"/>
                <w:color w:val="000000"/>
                <w:sz w:val="20"/>
                <w:lang w:val="en-GB" w:eastAsia="en-US"/>
              </w:rPr>
              <w:t xml:space="preserve"> </w:t>
            </w:r>
            <w:r w:rsidRPr="004C18E2">
              <w:rPr>
                <w:rFonts w:eastAsia="Times New Roman" w:cs="Arial"/>
                <w:color w:val="000000"/>
                <w:sz w:val="20"/>
                <w:szCs w:val="20"/>
                <w:lang w:val="en-GB" w:eastAsia="en-US"/>
              </w:rPr>
              <w:t xml:space="preserve">StOR </w:t>
            </w:r>
          </w:p>
        </w:tc>
      </w:tr>
      <w:tr w:rsidR="004C18E2" w:rsidRPr="004C18E2" w14:paraId="54574649" w14:textId="77777777" w:rsidTr="00F807C5">
        <w:trPr>
          <w:trHeight w:val="719"/>
        </w:trPr>
        <w:tc>
          <w:tcPr>
            <w:tcW w:w="2965" w:type="dxa"/>
            <w:vAlign w:val="center"/>
          </w:tcPr>
          <w:p w14:paraId="016DDE06" w14:textId="77777777" w:rsidR="004C18E2" w:rsidRPr="004C18E2" w:rsidRDefault="004C18E2" w:rsidP="004C18E2">
            <w:pPr>
              <w:widowControl w:val="0"/>
              <w:spacing w:line="360" w:lineRule="auto"/>
              <w:ind w:right="164"/>
              <w:jc w:val="center"/>
              <w:rPr>
                <w:rFonts w:eastAsia="Times New Roman" w:cs="Arial"/>
                <w:color w:val="000000"/>
                <w:sz w:val="20"/>
                <w:szCs w:val="20"/>
                <w:lang w:val="en-GB" w:eastAsia="en-US"/>
              </w:rPr>
            </w:pPr>
            <w:r w:rsidRPr="004C18E2">
              <w:rPr>
                <w:rFonts w:eastAsia="Times New Roman" w:cs="Arial"/>
                <w:sz w:val="20"/>
                <w:szCs w:val="20"/>
                <w:lang w:val="en-GB" w:eastAsia="en-US"/>
              </w:rPr>
              <w:t>October</w:t>
            </w:r>
            <w:r w:rsidRPr="004C18E2">
              <w:rPr>
                <w:rFonts w:eastAsia="Times New Roman" w:cs="Arial"/>
                <w:color w:val="000000"/>
                <w:sz w:val="20"/>
                <w:szCs w:val="20"/>
                <w:lang w:val="en-GB" w:eastAsia="en-US"/>
              </w:rPr>
              <w:t xml:space="preserve"> – November 2023</w:t>
            </w:r>
          </w:p>
        </w:tc>
        <w:tc>
          <w:tcPr>
            <w:tcW w:w="6662" w:type="dxa"/>
            <w:vAlign w:val="center"/>
          </w:tcPr>
          <w:p w14:paraId="6EEB4F8A"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cs="Arial"/>
                <w:sz w:val="20"/>
                <w:szCs w:val="20"/>
                <w:lang w:val="en-GB" w:eastAsia="en-US"/>
              </w:rPr>
              <w:t>Expert review</w:t>
            </w:r>
          </w:p>
        </w:tc>
      </w:tr>
      <w:tr w:rsidR="004C18E2" w:rsidRPr="004C18E2" w14:paraId="2CACEAEE" w14:textId="77777777" w:rsidTr="00F807C5">
        <w:trPr>
          <w:trHeight w:val="719"/>
        </w:trPr>
        <w:tc>
          <w:tcPr>
            <w:tcW w:w="2965" w:type="dxa"/>
            <w:vAlign w:val="center"/>
          </w:tcPr>
          <w:p w14:paraId="33304C24" w14:textId="77777777" w:rsidR="004C18E2" w:rsidRPr="004C18E2" w:rsidRDefault="004C18E2" w:rsidP="004C18E2">
            <w:pPr>
              <w:widowControl w:val="0"/>
              <w:spacing w:line="360" w:lineRule="auto"/>
              <w:ind w:right="164"/>
              <w:jc w:val="center"/>
              <w:rPr>
                <w:rFonts w:eastAsia="Times New Roman" w:cs="Arial"/>
                <w:color w:val="000000"/>
                <w:sz w:val="20"/>
                <w:szCs w:val="20"/>
                <w:lang w:val="en-GB" w:eastAsia="en-US"/>
              </w:rPr>
            </w:pPr>
            <w:r w:rsidRPr="004C18E2">
              <w:rPr>
                <w:rFonts w:eastAsia="Times New Roman" w:cs="Arial"/>
                <w:sz w:val="20"/>
                <w:szCs w:val="20"/>
                <w:lang w:val="en-GB" w:eastAsia="en-US"/>
              </w:rPr>
              <w:t>November – December</w:t>
            </w:r>
            <w:r w:rsidRPr="004C18E2">
              <w:rPr>
                <w:rFonts w:eastAsia="Times New Roman" w:cs="Arial"/>
                <w:color w:val="000000"/>
                <w:sz w:val="20"/>
                <w:szCs w:val="20"/>
                <w:lang w:val="en-GB" w:eastAsia="en-US"/>
              </w:rPr>
              <w:t xml:space="preserve"> 2023</w:t>
            </w:r>
          </w:p>
        </w:tc>
        <w:tc>
          <w:tcPr>
            <w:tcW w:w="6662" w:type="dxa"/>
            <w:vAlign w:val="center"/>
          </w:tcPr>
          <w:p w14:paraId="5EE5D0F3"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cs="Arial"/>
                <w:sz w:val="20"/>
                <w:szCs w:val="20"/>
                <w:lang w:val="en-GB" w:eastAsia="en-US"/>
              </w:rPr>
              <w:t>Incorporation of comments by authors</w:t>
            </w:r>
          </w:p>
          <w:p w14:paraId="318DEC3F" w14:textId="77777777" w:rsidR="004C18E2" w:rsidRPr="004C18E2" w:rsidRDefault="004C18E2" w:rsidP="004C18E2">
            <w:pPr>
              <w:widowControl w:val="0"/>
              <w:numPr>
                <w:ilvl w:val="0"/>
                <w:numId w:val="46"/>
              </w:numPr>
              <w:pBdr>
                <w:top w:val="nil"/>
                <w:left w:val="nil"/>
                <w:bottom w:val="nil"/>
                <w:right w:val="nil"/>
                <w:between w:val="nil"/>
              </w:pBdr>
              <w:tabs>
                <w:tab w:val="clear" w:pos="567"/>
              </w:tabs>
              <w:snapToGrid/>
              <w:spacing w:line="360" w:lineRule="auto"/>
              <w:ind w:right="164"/>
              <w:jc w:val="both"/>
              <w:rPr>
                <w:rFonts w:eastAsia="Times New Roman" w:cs="Arial"/>
                <w:color w:val="000000"/>
                <w:sz w:val="20"/>
                <w:szCs w:val="20"/>
                <w:lang w:val="en-GB" w:eastAsia="en-US"/>
              </w:rPr>
            </w:pPr>
            <w:r w:rsidRPr="004C18E2">
              <w:rPr>
                <w:rFonts w:eastAsia="Times New Roman" w:cs="Arial"/>
                <w:sz w:val="20"/>
                <w:szCs w:val="20"/>
                <w:lang w:val="en-GB" w:eastAsia="en-US"/>
              </w:rPr>
              <w:t>Drafting of Executive Summary</w:t>
            </w:r>
          </w:p>
        </w:tc>
      </w:tr>
      <w:tr w:rsidR="004C18E2" w:rsidRPr="004C18E2" w14:paraId="5E857202" w14:textId="77777777" w:rsidTr="00F807C5">
        <w:trPr>
          <w:trHeight w:val="719"/>
        </w:trPr>
        <w:tc>
          <w:tcPr>
            <w:tcW w:w="2965" w:type="dxa"/>
            <w:vAlign w:val="center"/>
          </w:tcPr>
          <w:p w14:paraId="00BD6F3A" w14:textId="77777777" w:rsidR="004C18E2" w:rsidRPr="004C18E2" w:rsidRDefault="004C18E2" w:rsidP="004C18E2">
            <w:pPr>
              <w:widowControl w:val="0"/>
              <w:spacing w:line="360" w:lineRule="auto"/>
              <w:ind w:right="164"/>
              <w:jc w:val="center"/>
              <w:rPr>
                <w:rFonts w:eastAsia="Times New Roman" w:cs="Arial"/>
                <w:sz w:val="20"/>
                <w:szCs w:val="20"/>
                <w:lang w:val="en-GB" w:eastAsia="en-US"/>
              </w:rPr>
            </w:pPr>
            <w:r w:rsidRPr="004C18E2">
              <w:rPr>
                <w:rFonts w:eastAsia="Times New Roman" w:cs="Arial"/>
                <w:sz w:val="20"/>
                <w:szCs w:val="20"/>
                <w:lang w:val="en-GB" w:eastAsia="en-US"/>
              </w:rPr>
              <w:t>January 2024</w:t>
            </w:r>
          </w:p>
        </w:tc>
        <w:tc>
          <w:tcPr>
            <w:tcW w:w="6662" w:type="dxa"/>
            <w:vAlign w:val="center"/>
          </w:tcPr>
          <w:p w14:paraId="7E60B179" w14:textId="77777777" w:rsidR="004C18E2" w:rsidRPr="004C18E2" w:rsidRDefault="004C18E2" w:rsidP="004C18E2">
            <w:pPr>
              <w:widowControl w:val="0"/>
              <w:numPr>
                <w:ilvl w:val="0"/>
                <w:numId w:val="44"/>
              </w:numPr>
              <w:pBdr>
                <w:top w:val="nil"/>
                <w:left w:val="nil"/>
                <w:bottom w:val="nil"/>
                <w:right w:val="nil"/>
                <w:between w:val="nil"/>
              </w:pBdr>
              <w:tabs>
                <w:tab w:val="clear" w:pos="567"/>
              </w:tabs>
              <w:snapToGrid/>
              <w:spacing w:line="360" w:lineRule="auto"/>
              <w:ind w:right="164"/>
              <w:jc w:val="both"/>
              <w:rPr>
                <w:rFonts w:eastAsia="Times New Roman" w:cs="Arial"/>
                <w:sz w:val="20"/>
                <w:szCs w:val="20"/>
                <w:lang w:val="en-GB" w:eastAsia="en-US"/>
              </w:rPr>
            </w:pPr>
            <w:r w:rsidRPr="004C18E2">
              <w:rPr>
                <w:rFonts w:eastAsia="Times New Roman" w:cs="Arial"/>
                <w:sz w:val="20"/>
                <w:szCs w:val="20"/>
                <w:lang w:val="en-GB" w:eastAsia="en-US"/>
              </w:rPr>
              <w:t>Layout and translation</w:t>
            </w:r>
          </w:p>
        </w:tc>
      </w:tr>
      <w:tr w:rsidR="004C18E2" w:rsidRPr="004C18E2" w14:paraId="3A617429" w14:textId="77777777" w:rsidTr="00F807C5">
        <w:trPr>
          <w:trHeight w:val="719"/>
        </w:trPr>
        <w:tc>
          <w:tcPr>
            <w:tcW w:w="2965" w:type="dxa"/>
            <w:vAlign w:val="center"/>
          </w:tcPr>
          <w:p w14:paraId="40739044" w14:textId="77777777" w:rsidR="004C18E2" w:rsidRPr="004C18E2" w:rsidRDefault="004C18E2" w:rsidP="004C18E2">
            <w:pPr>
              <w:widowControl w:val="0"/>
              <w:spacing w:line="360" w:lineRule="auto"/>
              <w:ind w:right="164"/>
              <w:jc w:val="center"/>
              <w:rPr>
                <w:rFonts w:eastAsia="Times New Roman" w:cs="Arial"/>
                <w:sz w:val="20"/>
                <w:szCs w:val="20"/>
                <w:lang w:val="en-GB" w:eastAsia="en-US"/>
              </w:rPr>
            </w:pPr>
            <w:r w:rsidRPr="004C18E2">
              <w:rPr>
                <w:rFonts w:eastAsia="Times New Roman" w:cs="Arial"/>
                <w:sz w:val="20"/>
                <w:szCs w:val="20"/>
                <w:lang w:val="en-GB" w:eastAsia="en-US"/>
              </w:rPr>
              <w:t>10–12 April 2024</w:t>
            </w:r>
          </w:p>
        </w:tc>
        <w:tc>
          <w:tcPr>
            <w:tcW w:w="6662" w:type="dxa"/>
            <w:vAlign w:val="center"/>
          </w:tcPr>
          <w:p w14:paraId="2C725CDE" w14:textId="77777777" w:rsidR="004C18E2" w:rsidRPr="004C18E2" w:rsidRDefault="004C18E2" w:rsidP="004C18E2">
            <w:pPr>
              <w:widowControl w:val="0"/>
              <w:numPr>
                <w:ilvl w:val="0"/>
                <w:numId w:val="47"/>
              </w:numPr>
              <w:pBdr>
                <w:top w:val="nil"/>
                <w:left w:val="nil"/>
                <w:bottom w:val="nil"/>
                <w:right w:val="nil"/>
                <w:between w:val="nil"/>
              </w:pBdr>
              <w:tabs>
                <w:tab w:val="clear" w:pos="567"/>
              </w:tabs>
              <w:snapToGrid/>
              <w:spacing w:line="360" w:lineRule="auto"/>
              <w:ind w:right="164"/>
              <w:jc w:val="both"/>
              <w:rPr>
                <w:rFonts w:eastAsia="Times New Roman" w:cs="Arial"/>
                <w:sz w:val="20"/>
                <w:szCs w:val="20"/>
                <w:lang w:val="en-GB" w:eastAsia="en-US"/>
              </w:rPr>
            </w:pPr>
            <w:r w:rsidRPr="004C18E2">
              <w:rPr>
                <w:rFonts w:eastAsia="Times New Roman" w:cs="Arial"/>
                <w:sz w:val="20"/>
                <w:szCs w:val="20"/>
                <w:lang w:val="en-GB" w:eastAsia="en-US"/>
              </w:rPr>
              <w:t>Publication of the StOR – second edition (Launch at the Second International Ocean Decade Conference, Barcelona, Spain)</w:t>
            </w:r>
          </w:p>
        </w:tc>
      </w:tr>
    </w:tbl>
    <w:p w14:paraId="47B2159F" w14:textId="77777777" w:rsidR="004C18E2" w:rsidRPr="004C18E2" w:rsidRDefault="004C18E2" w:rsidP="004C18E2">
      <w:pPr>
        <w:widowControl w:val="0"/>
        <w:pBdr>
          <w:top w:val="nil"/>
          <w:left w:val="nil"/>
          <w:bottom w:val="nil"/>
          <w:right w:val="nil"/>
          <w:between w:val="nil"/>
        </w:pBdr>
        <w:spacing w:before="180" w:line="360" w:lineRule="auto"/>
        <w:ind w:left="7" w:right="166"/>
        <w:jc w:val="both"/>
        <w:rPr>
          <w:rFonts w:ascii="Calibri" w:eastAsia="Calibri" w:hAnsi="Calibri" w:cs="Calibri"/>
          <w:color w:val="000000"/>
          <w:lang w:val="en-GB" w:eastAsia="en-US"/>
        </w:rPr>
      </w:pPr>
    </w:p>
    <w:sectPr w:rsidR="004C18E2" w:rsidRPr="004C18E2" w:rsidSect="003F7186">
      <w:headerReference w:type="even" r:id="rId38"/>
      <w:headerReference w:type="default" r:id="rId39"/>
      <w:footerReference w:type="even" r:id="rId40"/>
      <w:footerReference w:type="default" r:id="rId41"/>
      <w:headerReference w:type="first" r:id="rId42"/>
      <w:footerReference w:type="first" r:id="rId4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C069" w14:textId="77777777" w:rsidR="00792FB4" w:rsidRDefault="00792FB4">
      <w:r>
        <w:separator/>
      </w:r>
    </w:p>
  </w:endnote>
  <w:endnote w:type="continuationSeparator" w:id="0">
    <w:p w14:paraId="0BD17D85" w14:textId="77777777" w:rsidR="00792FB4" w:rsidRDefault="0079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EC92" w14:textId="77777777" w:rsidR="00732C1F" w:rsidRDefault="00732C1F">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7157" w14:textId="77777777" w:rsidR="002F6207" w:rsidRDefault="002F6207">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BCFC" w14:textId="77777777" w:rsidR="002F6207" w:rsidRDefault="002F62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F738" w14:textId="77777777" w:rsidR="00732C1F" w:rsidRDefault="00732C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6230" w14:textId="77777777" w:rsidR="00732C1F" w:rsidRDefault="00732C1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14E5" w14:textId="77777777" w:rsidR="002F6207" w:rsidRDefault="002F620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A7C1" w14:textId="77777777" w:rsidR="002F6207" w:rsidRDefault="002F620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E5D3" w14:textId="77777777" w:rsidR="002F6207" w:rsidRDefault="002F6207">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DEE8" w14:textId="77777777" w:rsidR="002F6207" w:rsidRDefault="002F6207">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A2C2" w14:textId="77777777" w:rsidR="002F6207" w:rsidRDefault="002F6207">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DC16" w14:textId="77777777" w:rsidR="002F6207" w:rsidRDefault="002F62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1B1D" w14:textId="77777777" w:rsidR="00792FB4" w:rsidRDefault="00792FB4">
      <w:r>
        <w:separator/>
      </w:r>
    </w:p>
  </w:footnote>
  <w:footnote w:type="continuationSeparator" w:id="0">
    <w:p w14:paraId="76E6E89F" w14:textId="77777777" w:rsidR="00792FB4" w:rsidRDefault="0079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7D8F" w14:textId="118AB966" w:rsidR="003F3C42" w:rsidRPr="00FF54F5" w:rsidRDefault="003F3C42" w:rsidP="003F3C42">
    <w:pPr>
      <w:pStyle w:val="En-tte"/>
      <w:spacing w:after="240"/>
      <w:rPr>
        <w:rFonts w:cs="Arial"/>
        <w:bCs/>
        <w:szCs w:val="22"/>
      </w:rPr>
    </w:pPr>
    <w:bookmarkStart w:id="0" w:name="_Hlk130197366"/>
    <w:r w:rsidRPr="00352423">
      <w:rPr>
        <w:rFonts w:cs="Arial"/>
        <w:bCs/>
        <w:szCs w:val="22"/>
      </w:rPr>
      <w:t>IOC/</w:t>
    </w:r>
    <w:r w:rsidR="000723F0">
      <w:rPr>
        <w:rFonts w:cs="Arial"/>
        <w:bCs/>
        <w:szCs w:val="22"/>
      </w:rPr>
      <w:t>A-32/2.1.Doc Prov.</w:t>
    </w:r>
    <w:bookmarkEnd w:id="0"/>
    <w:r w:rsidRPr="00FF54F5">
      <w:rPr>
        <w:rFonts w:cs="Arial"/>
        <w:bCs/>
        <w:szCs w:val="22"/>
      </w:rPr>
      <w:t xml:space="preserve"> – page </w:t>
    </w:r>
    <w:sdt>
      <w:sdtPr>
        <w:rPr>
          <w:rFonts w:cs="Arial"/>
          <w:bCs/>
          <w:szCs w:val="22"/>
        </w:rPr>
        <w:id w:val="554519101"/>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p w14:paraId="46CE599C" w14:textId="069EC3C1" w:rsidR="00755CED" w:rsidRPr="003F3C42" w:rsidRDefault="00755CED" w:rsidP="003F3C42">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C6B4" w14:textId="23A49C03" w:rsidR="002F6207" w:rsidRPr="00EE10D0" w:rsidRDefault="002F6207" w:rsidP="002F6207">
    <w:pPr>
      <w:pStyle w:val="En-tte"/>
      <w:ind w:left="7371"/>
      <w:rPr>
        <w:rFonts w:cs="Arial"/>
        <w:color w:val="000000" w:themeColor="text1"/>
        <w:sz w:val="20"/>
        <w:szCs w:val="20"/>
      </w:rPr>
    </w:pPr>
    <w:r>
      <w:t>IOC/A-32/4.2.Doc(1)</w:t>
    </w:r>
    <w:r>
      <w:br/>
      <w:t>Annexe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09FC" w14:textId="53E93A6C" w:rsidR="002F6207" w:rsidRPr="00EE10D0" w:rsidRDefault="002F6207" w:rsidP="002F6207">
    <w:pPr>
      <w:pStyle w:val="En-tte"/>
      <w:ind w:left="7371"/>
      <w:rPr>
        <w:rFonts w:cs="Arial"/>
        <w:color w:val="000000" w:themeColor="text1"/>
        <w:sz w:val="20"/>
        <w:szCs w:val="20"/>
      </w:rPr>
    </w:pPr>
    <w:r>
      <w:t>IOC/A-32/4.2.Doc(1)</w:t>
    </w:r>
    <w:r>
      <w:br/>
      <w:t>Annexe 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7D98" w14:textId="3F21DEF6" w:rsidR="002F6207" w:rsidRPr="00EE10D0" w:rsidRDefault="002F6207" w:rsidP="002F6207">
    <w:pPr>
      <w:pStyle w:val="En-tte"/>
      <w:ind w:left="7371"/>
      <w:rPr>
        <w:rFonts w:cs="Arial"/>
        <w:color w:val="000000" w:themeColor="text1"/>
        <w:sz w:val="20"/>
        <w:szCs w:val="20"/>
      </w:rPr>
    </w:pPr>
    <w:r>
      <w:t>IOC/A-32/4.2.Doc(1)</w:t>
    </w:r>
    <w:r>
      <w:br/>
      <w:t>Annexe 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823E" w14:textId="77777777" w:rsidR="002F6207" w:rsidRPr="006842FA" w:rsidRDefault="002F6207" w:rsidP="00AA714F">
    <w:pPr>
      <w:pStyle w:val="En-tte"/>
      <w:rPr>
        <w:rFonts w:cs="Arial"/>
        <w:sz w:val="20"/>
        <w:szCs w:val="20"/>
      </w:rPr>
    </w:pPr>
    <w:r>
      <w:t>IOC/A-32/4.2.Doc(1)</w:t>
    </w:r>
    <w:r>
      <w:br/>
      <w:t xml:space="preserve">Annexe 1 – </w:t>
    </w:r>
    <w:r w:rsidRPr="00732C1F">
      <w:rPr>
        <w:rFonts w:cs="Arial"/>
        <w:szCs w:val="22"/>
      </w:rPr>
      <w:t>page </w:t>
    </w:r>
    <w:r w:rsidRPr="00732C1F">
      <w:rPr>
        <w:rStyle w:val="Numrodepage"/>
        <w:rFonts w:cs="Arial"/>
        <w:szCs w:val="22"/>
      </w:rPr>
      <w:fldChar w:fldCharType="begin"/>
    </w:r>
    <w:r w:rsidRPr="00732C1F">
      <w:rPr>
        <w:rStyle w:val="Numrodepage"/>
        <w:rFonts w:cs="Arial"/>
        <w:szCs w:val="22"/>
      </w:rPr>
      <w:instrText xml:space="preserve"> PAGE </w:instrText>
    </w:r>
    <w:r w:rsidRPr="00732C1F">
      <w:rPr>
        <w:rStyle w:val="Numrodepage"/>
        <w:rFonts w:cs="Arial"/>
        <w:szCs w:val="22"/>
      </w:rPr>
      <w:fldChar w:fldCharType="separate"/>
    </w:r>
    <w:r w:rsidRPr="00732C1F">
      <w:rPr>
        <w:rStyle w:val="Numrodepage"/>
        <w:rFonts w:cs="Arial"/>
        <w:noProof/>
        <w:szCs w:val="22"/>
      </w:rPr>
      <w:t>2</w:t>
    </w:r>
    <w:r w:rsidRPr="00732C1F">
      <w:rPr>
        <w:rStyle w:val="Numrodepage"/>
        <w:rFonts w:cs="Arial"/>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6616" w14:textId="77777777" w:rsidR="002F6207" w:rsidRDefault="002F6207" w:rsidP="002F6207">
    <w:pPr>
      <w:pStyle w:val="En-tte"/>
      <w:ind w:left="7371"/>
    </w:pPr>
    <w:r>
      <w:t>IOC/A-32/4.2.Doc(1)</w:t>
    </w:r>
  </w:p>
  <w:p w14:paraId="2EBB4391" w14:textId="77777777" w:rsidR="002F6207" w:rsidRPr="00732C1F" w:rsidRDefault="002F6207" w:rsidP="002F6207">
    <w:pPr>
      <w:pStyle w:val="En-tte"/>
      <w:ind w:left="7371"/>
      <w:rPr>
        <w:rFonts w:cs="Arial"/>
        <w:color w:val="000000" w:themeColor="text1"/>
        <w:sz w:val="20"/>
        <w:szCs w:val="20"/>
      </w:rPr>
    </w:pPr>
    <w:r>
      <w:t xml:space="preserve">Annexe 1 – </w:t>
    </w:r>
    <w:r w:rsidRPr="00732C1F">
      <w:rPr>
        <w:rFonts w:cs="Arial"/>
      </w:rPr>
      <w:t>page </w:t>
    </w:r>
    <w:r w:rsidRPr="00732C1F">
      <w:rPr>
        <w:rStyle w:val="Numrodepage"/>
        <w:rFonts w:cs="Arial"/>
      </w:rPr>
      <w:fldChar w:fldCharType="begin"/>
    </w:r>
    <w:r w:rsidRPr="00732C1F">
      <w:rPr>
        <w:rStyle w:val="Numrodepage"/>
        <w:rFonts w:cs="Arial"/>
      </w:rPr>
      <w:instrText xml:space="preserve"> PAGE </w:instrText>
    </w:r>
    <w:r w:rsidRPr="00732C1F">
      <w:rPr>
        <w:rStyle w:val="Numrodepage"/>
        <w:rFonts w:cs="Arial"/>
      </w:rPr>
      <w:fldChar w:fldCharType="separate"/>
    </w:r>
    <w:r w:rsidRPr="00732C1F">
      <w:rPr>
        <w:rStyle w:val="Numrodepage"/>
        <w:rFonts w:cs="Arial"/>
        <w:noProof/>
      </w:rPr>
      <w:t>3</w:t>
    </w:r>
    <w:r w:rsidRPr="00732C1F">
      <w:rPr>
        <w:rStyle w:val="Numrodepage"/>
        <w:rFonts w:cs="Aria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AF82" w14:textId="0E98A52C" w:rsidR="002F6207" w:rsidRPr="00EE10D0" w:rsidRDefault="002F6207" w:rsidP="002F6207">
    <w:pPr>
      <w:pStyle w:val="En-tte"/>
      <w:ind w:left="7371"/>
      <w:rPr>
        <w:rFonts w:cs="Arial"/>
        <w:color w:val="000000" w:themeColor="text1"/>
        <w:sz w:val="20"/>
        <w:szCs w:val="20"/>
      </w:rPr>
    </w:pPr>
    <w:r>
      <w:t>IOC/A-32/4.2.Doc(1)</w:t>
    </w:r>
    <w:r>
      <w:br/>
      <w:t>Annexe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D428" w14:textId="07025ACC" w:rsidR="00755CED" w:rsidRDefault="000723F0" w:rsidP="000723F0">
    <w:pPr>
      <w:pStyle w:val="En-tte"/>
      <w:jc w:val="right"/>
    </w:pPr>
    <w:r w:rsidRPr="00352423">
      <w:rPr>
        <w:rFonts w:cs="Arial"/>
        <w:bCs/>
        <w:szCs w:val="22"/>
      </w:rPr>
      <w:t>IOC/</w:t>
    </w:r>
    <w:r>
      <w:rPr>
        <w:rFonts w:cs="Arial"/>
        <w:bCs/>
        <w:szCs w:val="22"/>
      </w:rPr>
      <w:t>A-32/2.1.Doc Prov. – page</w:t>
    </w:r>
    <w:r w:rsidR="00393110">
      <w:rPr>
        <w:rFonts w:cs="Arial"/>
        <w:bCs/>
        <w:szCs w:val="22"/>
      </w:rPr>
      <w:t> </w:t>
    </w:r>
    <w:r w:rsidR="00755CED">
      <w:fldChar w:fldCharType="begin"/>
    </w:r>
    <w:r w:rsidR="00755CED">
      <w:instrText>PAGE   \* MERGEFORMAT</w:instrText>
    </w:r>
    <w:r w:rsidR="00755CED">
      <w:fldChar w:fldCharType="separate"/>
    </w:r>
    <w:r w:rsidR="004D05D2">
      <w:rPr>
        <w:noProof/>
      </w:rPr>
      <w:t>13</w:t>
    </w:r>
    <w:r w:rsidR="00755C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99A" w14:textId="3A6F683D" w:rsidR="00EB3895" w:rsidRDefault="000723F0">
    <w:pPr>
      <w:pStyle w:val="En-tte"/>
    </w:pPr>
    <w:r>
      <w:rPr>
        <w:noProof/>
      </w:rPr>
      <mc:AlternateContent>
        <mc:Choice Requires="wps">
          <w:drawing>
            <wp:anchor distT="45720" distB="45720" distL="114300" distR="114300" simplePos="0" relativeHeight="251661312" behindDoc="0" locked="0" layoutInCell="1" allowOverlap="1" wp14:anchorId="695F0820" wp14:editId="5BFDF62F">
              <wp:simplePos x="0" y="0"/>
              <wp:positionH relativeFrom="column">
                <wp:posOffset>3575050</wp:posOffset>
              </wp:positionH>
              <wp:positionV relativeFrom="paragraph">
                <wp:posOffset>-93980</wp:posOffset>
              </wp:positionV>
              <wp:extent cx="2660015"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404620"/>
                      </a:xfrm>
                      <a:prstGeom prst="rect">
                        <a:avLst/>
                      </a:prstGeom>
                      <a:noFill/>
                      <a:ln w="9525">
                        <a:noFill/>
                        <a:miter lim="800000"/>
                        <a:headEnd/>
                        <a:tailEnd/>
                      </a:ln>
                    </wps:spPr>
                    <wps:txbx>
                      <w:txbxContent>
                        <w:p w14:paraId="6C6242B4" w14:textId="5F21D586" w:rsidR="00EB3895" w:rsidRPr="002A5D14" w:rsidRDefault="00EB3895" w:rsidP="00EB3895">
                          <w:pPr>
                            <w:pStyle w:val="Marge"/>
                            <w:tabs>
                              <w:tab w:val="left" w:pos="6237"/>
                              <w:tab w:val="left" w:pos="7088"/>
                            </w:tabs>
                            <w:spacing w:after="0"/>
                            <w:rPr>
                              <w:rFonts w:cs="Arial"/>
                              <w:b/>
                              <w:sz w:val="36"/>
                              <w:szCs w:val="36"/>
                            </w:rPr>
                          </w:pPr>
                          <w:bookmarkStart w:id="1"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1"/>
                          <w:r w:rsidR="00AA714F">
                            <w:rPr>
                              <w:rFonts w:cs="Arial"/>
                              <w:b/>
                              <w:sz w:val="36"/>
                              <w:szCs w:val="36"/>
                            </w:rPr>
                            <w:t>4</w:t>
                          </w:r>
                          <w:r w:rsidR="006C07E7">
                            <w:rPr>
                              <w:rFonts w:cs="Arial"/>
                              <w:b/>
                              <w:sz w:val="36"/>
                              <w:szCs w:val="36"/>
                            </w:rPr>
                            <w:t>.</w:t>
                          </w:r>
                          <w:r w:rsidR="004C18E2">
                            <w:rPr>
                              <w:rFonts w:cs="Arial"/>
                              <w:b/>
                              <w:sz w:val="36"/>
                              <w:szCs w:val="36"/>
                            </w:rPr>
                            <w:t>2</w:t>
                          </w:r>
                          <w:r w:rsidR="00F97E19">
                            <w:rPr>
                              <w:rFonts w:cs="Arial"/>
                              <w:b/>
                              <w:sz w:val="36"/>
                              <w:szCs w:val="36"/>
                            </w:rPr>
                            <w:t>.Doc(1)</w:t>
                          </w:r>
                        </w:p>
                        <w:p w14:paraId="10A5E3DC" w14:textId="74868195"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4C18E2">
                            <w:rPr>
                              <w:rFonts w:cs="Arial"/>
                              <w:szCs w:val="22"/>
                            </w:rPr>
                            <w:t>5</w:t>
                          </w:r>
                          <w:r w:rsidR="003864FF">
                            <w:rPr>
                              <w:rFonts w:cs="Arial"/>
                              <w:szCs w:val="22"/>
                            </w:rPr>
                            <w:t xml:space="preserve"> </w:t>
                          </w:r>
                          <w:r w:rsidR="00AA714F">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F0820" id="_x0000_t202" coordsize="21600,21600" o:spt="202" path="m,l,21600r21600,l21600,xe">
              <v:stroke joinstyle="miter"/>
              <v:path gradientshapeok="t" o:connecttype="rect"/>
            </v:shapetype>
            <v:shape id="Zone de texte 2" o:spid="_x0000_s1026" type="#_x0000_t202" style="position:absolute;margin-left:281.5pt;margin-top:-7.4pt;width:209.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wS+w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" filled="f" stroked="f">
              <v:textbox style="mso-fit-shape-to-text:t">
                <w:txbxContent>
                  <w:p w14:paraId="6C6242B4" w14:textId="5F21D586" w:rsidR="00EB3895" w:rsidRPr="002A5D14" w:rsidRDefault="00EB3895" w:rsidP="00EB3895">
                    <w:pPr>
                      <w:pStyle w:val="Marge"/>
                      <w:tabs>
                        <w:tab w:val="left" w:pos="6237"/>
                        <w:tab w:val="left" w:pos="7088"/>
                      </w:tabs>
                      <w:spacing w:after="0"/>
                      <w:rPr>
                        <w:rFonts w:cs="Arial"/>
                        <w:b/>
                        <w:sz w:val="36"/>
                        <w:szCs w:val="36"/>
                      </w:rPr>
                    </w:pPr>
                    <w:bookmarkStart w:id="2" w:name="_Hlk54263549"/>
                    <w:r w:rsidRPr="002A5D14">
                      <w:rPr>
                        <w:rFonts w:cs="Arial"/>
                        <w:b/>
                        <w:sz w:val="36"/>
                        <w:szCs w:val="36"/>
                      </w:rPr>
                      <w:t>IOC/</w:t>
                    </w:r>
                    <w:r w:rsidR="000723F0">
                      <w:rPr>
                        <w:rFonts w:cs="Arial"/>
                        <w:b/>
                        <w:sz w:val="36"/>
                        <w:szCs w:val="36"/>
                      </w:rPr>
                      <w:t>A-32</w:t>
                    </w:r>
                    <w:r w:rsidRPr="002A5D14">
                      <w:rPr>
                        <w:rFonts w:cs="Arial"/>
                        <w:b/>
                        <w:sz w:val="36"/>
                        <w:szCs w:val="36"/>
                      </w:rPr>
                      <w:t>/</w:t>
                    </w:r>
                    <w:bookmarkEnd w:id="2"/>
                    <w:r w:rsidR="00AA714F">
                      <w:rPr>
                        <w:rFonts w:cs="Arial"/>
                        <w:b/>
                        <w:sz w:val="36"/>
                        <w:szCs w:val="36"/>
                      </w:rPr>
                      <w:t>4</w:t>
                    </w:r>
                    <w:r w:rsidR="006C07E7">
                      <w:rPr>
                        <w:rFonts w:cs="Arial"/>
                        <w:b/>
                        <w:sz w:val="36"/>
                        <w:szCs w:val="36"/>
                      </w:rPr>
                      <w:t>.</w:t>
                    </w:r>
                    <w:r w:rsidR="004C18E2">
                      <w:rPr>
                        <w:rFonts w:cs="Arial"/>
                        <w:b/>
                        <w:sz w:val="36"/>
                        <w:szCs w:val="36"/>
                      </w:rPr>
                      <w:t>2</w:t>
                    </w:r>
                    <w:r w:rsidR="00F97E19">
                      <w:rPr>
                        <w:rFonts w:cs="Arial"/>
                        <w:b/>
                        <w:sz w:val="36"/>
                        <w:szCs w:val="36"/>
                      </w:rPr>
                      <w:t>.Doc(1)</w:t>
                    </w:r>
                  </w:p>
                  <w:p w14:paraId="10A5E3DC" w14:textId="74868195" w:rsidR="00EB3895" w:rsidRPr="002A5D14" w:rsidRDefault="00EB3895" w:rsidP="00EB3895">
                    <w:pPr>
                      <w:pStyle w:val="Marge"/>
                      <w:tabs>
                        <w:tab w:val="left" w:pos="6237"/>
                      </w:tabs>
                      <w:spacing w:after="0"/>
                      <w:rPr>
                        <w:rFonts w:cs="Arial"/>
                        <w:szCs w:val="22"/>
                      </w:rPr>
                    </w:pPr>
                    <w:r w:rsidRPr="002A5D14">
                      <w:rPr>
                        <w:rFonts w:cs="Arial"/>
                        <w:szCs w:val="22"/>
                      </w:rPr>
                      <w:t xml:space="preserve">Paris, le </w:t>
                    </w:r>
                    <w:r w:rsidR="004C18E2">
                      <w:rPr>
                        <w:rFonts w:cs="Arial"/>
                        <w:szCs w:val="22"/>
                      </w:rPr>
                      <w:t>5</w:t>
                    </w:r>
                    <w:r w:rsidR="003864FF">
                      <w:rPr>
                        <w:rFonts w:cs="Arial"/>
                        <w:szCs w:val="22"/>
                      </w:rPr>
                      <w:t xml:space="preserve"> </w:t>
                    </w:r>
                    <w:r w:rsidR="00AA714F">
                      <w:rPr>
                        <w:rFonts w:cs="Arial"/>
                        <w:szCs w:val="22"/>
                      </w:rPr>
                      <w:t>mai</w:t>
                    </w:r>
                    <w:r w:rsidRPr="002A5D14">
                      <w:rPr>
                        <w:rFonts w:cs="Arial"/>
                        <w:szCs w:val="22"/>
                      </w:rPr>
                      <w:t xml:space="preserve"> 202</w:t>
                    </w:r>
                    <w:r w:rsidR="000723F0">
                      <w:rPr>
                        <w:rFonts w:cs="Arial"/>
                        <w:szCs w:val="22"/>
                      </w:rPr>
                      <w:t>3</w:t>
                    </w:r>
                    <w:r w:rsidRPr="002A5D14">
                      <w:rPr>
                        <w:rFonts w:cs="Arial"/>
                        <w:szCs w:val="22"/>
                      </w:rPr>
                      <w:t xml:space="preserve"> </w:t>
                    </w:r>
                  </w:p>
                  <w:p w14:paraId="03157CD4" w14:textId="567ECB1C" w:rsidR="00EB3895" w:rsidRPr="00EB3895" w:rsidRDefault="00EB3895" w:rsidP="00EB3895">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sidR="00DA71B9">
      <w:rPr>
        <w:rFonts w:cs="Arial"/>
        <w:b/>
        <w:noProof/>
        <w:snapToGrid/>
        <w:szCs w:val="22"/>
        <w:lang w:eastAsia="fr-FR"/>
      </w:rPr>
      <w:drawing>
        <wp:anchor distT="0" distB="0" distL="114300" distR="114300" simplePos="0" relativeHeight="251659264" behindDoc="0" locked="0" layoutInCell="1" allowOverlap="1" wp14:anchorId="50B79300" wp14:editId="2EBE22C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EB3895">
      <w:t>Distribution limitée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66BE" w14:textId="781E8CE6" w:rsidR="00020AA1" w:rsidRPr="006842FA" w:rsidRDefault="00E26B0D" w:rsidP="00AA714F">
    <w:pPr>
      <w:pStyle w:val="En-tte"/>
      <w:rPr>
        <w:rFonts w:cs="Arial"/>
        <w:sz w:val="20"/>
        <w:szCs w:val="20"/>
      </w:rPr>
    </w:pPr>
    <w:r>
      <w:t>IOC</w:t>
    </w:r>
    <w:r w:rsidR="00E41528">
      <w:t>/A</w:t>
    </w:r>
    <w:r>
      <w:t>-32/</w:t>
    </w:r>
    <w:r w:rsidR="00AA714F">
      <w:t>4</w:t>
    </w:r>
    <w:r>
      <w:t>.</w:t>
    </w:r>
    <w:r w:rsidR="004C18E2">
      <w:t>2</w:t>
    </w:r>
    <w:r w:rsidR="006C07E7">
      <w:t>.</w:t>
    </w:r>
    <w:r>
      <w:t>Doc(1)</w:t>
    </w:r>
    <w:r w:rsidR="00AA714F">
      <w:t xml:space="preserve"> – </w:t>
    </w:r>
    <w:r w:rsidRPr="00732C1F">
      <w:rPr>
        <w:rFonts w:cs="Arial"/>
        <w:szCs w:val="22"/>
      </w:rPr>
      <w:t>page </w:t>
    </w:r>
    <w:r w:rsidRPr="00732C1F">
      <w:rPr>
        <w:rStyle w:val="Numrodepage"/>
        <w:rFonts w:cs="Arial"/>
        <w:szCs w:val="22"/>
      </w:rPr>
      <w:fldChar w:fldCharType="begin"/>
    </w:r>
    <w:r w:rsidRPr="00732C1F">
      <w:rPr>
        <w:rStyle w:val="Numrodepage"/>
        <w:rFonts w:cs="Arial"/>
        <w:szCs w:val="22"/>
      </w:rPr>
      <w:instrText xml:space="preserve"> PAGE </w:instrText>
    </w:r>
    <w:r w:rsidRPr="00732C1F">
      <w:rPr>
        <w:rStyle w:val="Numrodepage"/>
        <w:rFonts w:cs="Arial"/>
        <w:szCs w:val="22"/>
      </w:rPr>
      <w:fldChar w:fldCharType="separate"/>
    </w:r>
    <w:r w:rsidRPr="00732C1F">
      <w:rPr>
        <w:rStyle w:val="Numrodepage"/>
        <w:rFonts w:cs="Arial"/>
        <w:noProof/>
        <w:szCs w:val="22"/>
      </w:rPr>
      <w:t>2</w:t>
    </w:r>
    <w:r w:rsidRPr="00732C1F">
      <w:rPr>
        <w:rStyle w:val="Numrodepage"/>
        <w:rFonts w:cs="Arial"/>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C54F" w14:textId="547BF87D" w:rsidR="00020AA1" w:rsidRPr="00732C1F" w:rsidRDefault="00E26B0D" w:rsidP="00AA714F">
    <w:pPr>
      <w:pStyle w:val="En-tte"/>
      <w:ind w:left="6521"/>
      <w:rPr>
        <w:rFonts w:cs="Arial"/>
        <w:color w:val="000000" w:themeColor="text1"/>
        <w:sz w:val="20"/>
        <w:szCs w:val="20"/>
      </w:rPr>
    </w:pPr>
    <w:r>
      <w:t>IOC</w:t>
    </w:r>
    <w:r w:rsidR="00E41528">
      <w:t>/A</w:t>
    </w:r>
    <w:r>
      <w:t>-32/</w:t>
    </w:r>
    <w:r w:rsidR="00AA714F">
      <w:t>4</w:t>
    </w:r>
    <w:r w:rsidR="00AD04A3">
      <w:t>.</w:t>
    </w:r>
    <w:r w:rsidR="004C18E2">
      <w:t>2</w:t>
    </w:r>
    <w:r>
      <w:t>.Doc(1)</w:t>
    </w:r>
    <w:r w:rsidR="00AA714F">
      <w:t xml:space="preserve"> – </w:t>
    </w:r>
    <w:r w:rsidRPr="00732C1F">
      <w:rPr>
        <w:rFonts w:cs="Arial"/>
      </w:rPr>
      <w:t>page </w:t>
    </w:r>
    <w:r w:rsidRPr="00732C1F">
      <w:rPr>
        <w:rStyle w:val="Numrodepage"/>
        <w:rFonts w:cs="Arial"/>
      </w:rPr>
      <w:fldChar w:fldCharType="begin"/>
    </w:r>
    <w:r w:rsidRPr="00732C1F">
      <w:rPr>
        <w:rStyle w:val="Numrodepage"/>
        <w:rFonts w:cs="Arial"/>
      </w:rPr>
      <w:instrText xml:space="preserve"> PAGE </w:instrText>
    </w:r>
    <w:r w:rsidRPr="00732C1F">
      <w:rPr>
        <w:rStyle w:val="Numrodepage"/>
        <w:rFonts w:cs="Arial"/>
      </w:rPr>
      <w:fldChar w:fldCharType="separate"/>
    </w:r>
    <w:r w:rsidRPr="00732C1F">
      <w:rPr>
        <w:rStyle w:val="Numrodepage"/>
        <w:rFonts w:cs="Arial"/>
        <w:noProof/>
      </w:rPr>
      <w:t>3</w:t>
    </w:r>
    <w:r w:rsidRPr="00732C1F">
      <w:rPr>
        <w:rStyle w:val="Numrodepage"/>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736" w14:textId="00379D92" w:rsidR="00020AA1" w:rsidRPr="00EE10D0" w:rsidRDefault="00E26B0D" w:rsidP="00294AD5">
    <w:pPr>
      <w:pStyle w:val="En-tte"/>
      <w:jc w:val="right"/>
      <w:rPr>
        <w:rFonts w:cs="Arial"/>
        <w:color w:val="000000" w:themeColor="text1"/>
        <w:sz w:val="20"/>
        <w:szCs w:val="20"/>
      </w:rPr>
    </w:pPr>
    <w:r>
      <w:t>IOC</w:t>
    </w:r>
    <w:r w:rsidR="00E41528">
      <w:t>/A</w:t>
    </w:r>
    <w:r>
      <w:t>-32/</w:t>
    </w:r>
    <w:r w:rsidR="00AA714F">
      <w:t>4</w:t>
    </w:r>
    <w:r>
      <w:t>.</w:t>
    </w:r>
    <w:r w:rsidR="004C18E2">
      <w:t>2</w:t>
    </w:r>
    <w:r w:rsidR="006C07E7">
      <w:t>.</w:t>
    </w:r>
    <w:r>
      <w:t>Doc(1)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C817" w14:textId="6486834C" w:rsidR="002F6207" w:rsidRPr="006842FA" w:rsidRDefault="002F6207" w:rsidP="00AA714F">
    <w:pPr>
      <w:pStyle w:val="En-tte"/>
      <w:rPr>
        <w:rFonts w:cs="Arial"/>
        <w:sz w:val="20"/>
        <w:szCs w:val="20"/>
      </w:rPr>
    </w:pPr>
    <w:r>
      <w:t>IOC/A-32/4.2.Doc(1)</w:t>
    </w:r>
    <w:r>
      <w:br/>
      <w:t xml:space="preserve">Annexe 1 – </w:t>
    </w:r>
    <w:r w:rsidRPr="00732C1F">
      <w:rPr>
        <w:rFonts w:cs="Arial"/>
        <w:szCs w:val="22"/>
      </w:rPr>
      <w:t>page </w:t>
    </w:r>
    <w:r w:rsidRPr="00732C1F">
      <w:rPr>
        <w:rStyle w:val="Numrodepage"/>
        <w:rFonts w:cs="Arial"/>
        <w:szCs w:val="22"/>
      </w:rPr>
      <w:fldChar w:fldCharType="begin"/>
    </w:r>
    <w:r w:rsidRPr="00732C1F">
      <w:rPr>
        <w:rStyle w:val="Numrodepage"/>
        <w:rFonts w:cs="Arial"/>
        <w:szCs w:val="22"/>
      </w:rPr>
      <w:instrText xml:space="preserve"> PAGE </w:instrText>
    </w:r>
    <w:r w:rsidRPr="00732C1F">
      <w:rPr>
        <w:rStyle w:val="Numrodepage"/>
        <w:rFonts w:cs="Arial"/>
        <w:szCs w:val="22"/>
      </w:rPr>
      <w:fldChar w:fldCharType="separate"/>
    </w:r>
    <w:r w:rsidRPr="00732C1F">
      <w:rPr>
        <w:rStyle w:val="Numrodepage"/>
        <w:rFonts w:cs="Arial"/>
        <w:noProof/>
        <w:szCs w:val="22"/>
      </w:rPr>
      <w:t>2</w:t>
    </w:r>
    <w:r w:rsidRPr="00732C1F">
      <w:rPr>
        <w:rStyle w:val="Numrodepage"/>
        <w:rFonts w:cs="Arial"/>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ED62" w14:textId="77777777" w:rsidR="002F6207" w:rsidRDefault="002F6207" w:rsidP="002F6207">
    <w:pPr>
      <w:pStyle w:val="En-tte"/>
      <w:ind w:left="7371"/>
    </w:pPr>
    <w:r>
      <w:t>IOC/A-32/4.2.Doc(1)</w:t>
    </w:r>
  </w:p>
  <w:p w14:paraId="275E2F95" w14:textId="33936FA5" w:rsidR="002F6207" w:rsidRPr="00732C1F" w:rsidRDefault="002F6207" w:rsidP="002F6207">
    <w:pPr>
      <w:pStyle w:val="En-tte"/>
      <w:ind w:left="7371"/>
      <w:rPr>
        <w:rFonts w:cs="Arial"/>
        <w:color w:val="000000" w:themeColor="text1"/>
        <w:sz w:val="20"/>
        <w:szCs w:val="20"/>
      </w:rPr>
    </w:pPr>
    <w:r>
      <w:t xml:space="preserve">Annexe 1 – </w:t>
    </w:r>
    <w:r w:rsidRPr="00732C1F">
      <w:rPr>
        <w:rFonts w:cs="Arial"/>
      </w:rPr>
      <w:t>page </w:t>
    </w:r>
    <w:r w:rsidRPr="00732C1F">
      <w:rPr>
        <w:rStyle w:val="Numrodepage"/>
        <w:rFonts w:cs="Arial"/>
      </w:rPr>
      <w:fldChar w:fldCharType="begin"/>
    </w:r>
    <w:r w:rsidRPr="00732C1F">
      <w:rPr>
        <w:rStyle w:val="Numrodepage"/>
        <w:rFonts w:cs="Arial"/>
      </w:rPr>
      <w:instrText xml:space="preserve"> PAGE </w:instrText>
    </w:r>
    <w:r w:rsidRPr="00732C1F">
      <w:rPr>
        <w:rStyle w:val="Numrodepage"/>
        <w:rFonts w:cs="Arial"/>
      </w:rPr>
      <w:fldChar w:fldCharType="separate"/>
    </w:r>
    <w:r w:rsidRPr="00732C1F">
      <w:rPr>
        <w:rStyle w:val="Numrodepage"/>
        <w:rFonts w:cs="Arial"/>
        <w:noProof/>
      </w:rPr>
      <w:t>3</w:t>
    </w:r>
    <w:r w:rsidRPr="00732C1F">
      <w:rPr>
        <w:rStyle w:val="Numrodepage"/>
        <w:rFonts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26E9" w14:textId="390C7CD7" w:rsidR="002F6207" w:rsidRPr="00EE10D0" w:rsidRDefault="002F6207" w:rsidP="002F6207">
    <w:pPr>
      <w:pStyle w:val="En-tte"/>
      <w:ind w:left="7371"/>
      <w:rPr>
        <w:rFonts w:cs="Arial"/>
        <w:color w:val="000000" w:themeColor="text1"/>
        <w:sz w:val="20"/>
        <w:szCs w:val="20"/>
      </w:rPr>
    </w:pPr>
    <w:r>
      <w:t>IOC/A-32/4.2.Doc(1)</w:t>
    </w:r>
    <w:r>
      <w:br/>
      <w:t>Annexe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8286609"/>
    <w:multiLevelType w:val="hybridMultilevel"/>
    <w:tmpl w:val="208C25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1E1474"/>
    <w:multiLevelType w:val="hybridMultilevel"/>
    <w:tmpl w:val="C616F7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A6672"/>
    <w:multiLevelType w:val="hybridMultilevel"/>
    <w:tmpl w:val="835CDC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1"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A78E4"/>
    <w:multiLevelType w:val="multilevel"/>
    <w:tmpl w:val="25EAF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4C64"/>
    <w:multiLevelType w:val="hybridMultilevel"/>
    <w:tmpl w:val="F092B0E8"/>
    <w:lvl w:ilvl="0" w:tplc="62A28114">
      <w:start w:val="1"/>
      <w:numFmt w:val="decimal"/>
      <w:lvlText w:val="%1."/>
      <w:lvlJc w:val="left"/>
      <w:pPr>
        <w:tabs>
          <w:tab w:val="num" w:pos="567"/>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8B64C0"/>
    <w:multiLevelType w:val="hybridMultilevel"/>
    <w:tmpl w:val="4002E85A"/>
    <w:lvl w:ilvl="0" w:tplc="0F8AA590">
      <w:start w:val="1"/>
      <w:numFmt w:val="lowerRoman"/>
      <w:lvlText w:val="(%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2"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E440D"/>
    <w:multiLevelType w:val="multilevel"/>
    <w:tmpl w:val="DF5C8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AA07DD1"/>
    <w:multiLevelType w:val="multilevel"/>
    <w:tmpl w:val="F550C41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CC7617"/>
    <w:multiLevelType w:val="hybridMultilevel"/>
    <w:tmpl w:val="5E5EB96E"/>
    <w:lvl w:ilvl="0" w:tplc="0F8AA590">
      <w:start w:val="1"/>
      <w:numFmt w:val="lowerRoman"/>
      <w:lvlText w:val="(%1) "/>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13DA8"/>
    <w:multiLevelType w:val="hybridMultilevel"/>
    <w:tmpl w:val="0C8CB9BA"/>
    <w:lvl w:ilvl="0" w:tplc="39BC4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F64A96"/>
    <w:multiLevelType w:val="multilevel"/>
    <w:tmpl w:val="2CA2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34" w15:restartNumberingAfterBreak="0">
    <w:nsid w:val="73F70DA7"/>
    <w:multiLevelType w:val="hybridMultilevel"/>
    <w:tmpl w:val="60FAE58E"/>
    <w:lvl w:ilvl="0" w:tplc="040C000F">
      <w:start w:val="1"/>
      <w:numFmt w:val="decimal"/>
      <w:pStyle w:val="paranumbered"/>
      <w:lvlText w:val="%1."/>
      <w:lvlJc w:val="left"/>
      <w:pPr>
        <w:ind w:left="0" w:firstLine="0"/>
      </w:pPr>
      <w:rPr>
        <w:rFonts w:hint="default"/>
        <w:b w:val="0"/>
        <w:i w:val="0"/>
        <w:iCs/>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442E24"/>
    <w:multiLevelType w:val="multilevel"/>
    <w:tmpl w:val="A514704C"/>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36" w15:restartNumberingAfterBreak="0">
    <w:nsid w:val="74716554"/>
    <w:multiLevelType w:val="hybridMultilevel"/>
    <w:tmpl w:val="28BE8246"/>
    <w:lvl w:ilvl="0" w:tplc="460CBEE8">
      <w:start w:val="1"/>
      <w:numFmt w:val="decimal"/>
      <w:lvlText w:val="%1."/>
      <w:lvlJc w:val="left"/>
      <w:pPr>
        <w:ind w:left="720" w:hanging="360"/>
      </w:pPr>
      <w:rPr>
        <w:rFonts w:eastAsia="Times New Roman"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A2BF5"/>
    <w:multiLevelType w:val="multilevel"/>
    <w:tmpl w:val="056E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331786">
    <w:abstractNumId w:val="10"/>
  </w:num>
  <w:num w:numId="2" w16cid:durableId="1267154687">
    <w:abstractNumId w:val="10"/>
  </w:num>
  <w:num w:numId="3" w16cid:durableId="963846369">
    <w:abstractNumId w:val="4"/>
  </w:num>
  <w:num w:numId="4" w16cid:durableId="773785167">
    <w:abstractNumId w:val="26"/>
  </w:num>
  <w:num w:numId="5" w16cid:durableId="1013070056">
    <w:abstractNumId w:val="12"/>
  </w:num>
  <w:num w:numId="6" w16cid:durableId="1339650376">
    <w:abstractNumId w:val="15"/>
  </w:num>
  <w:num w:numId="7" w16cid:durableId="1812166786">
    <w:abstractNumId w:val="31"/>
  </w:num>
  <w:num w:numId="8" w16cid:durableId="1854416480">
    <w:abstractNumId w:val="22"/>
  </w:num>
  <w:num w:numId="9" w16cid:durableId="501549823">
    <w:abstractNumId w:val="4"/>
  </w:num>
  <w:num w:numId="10" w16cid:durableId="944380961">
    <w:abstractNumId w:val="4"/>
  </w:num>
  <w:num w:numId="11" w16cid:durableId="909577179">
    <w:abstractNumId w:val="4"/>
  </w:num>
  <w:num w:numId="12" w16cid:durableId="1677732752">
    <w:abstractNumId w:val="4"/>
  </w:num>
  <w:num w:numId="13" w16cid:durableId="1577281272">
    <w:abstractNumId w:val="17"/>
  </w:num>
  <w:num w:numId="14" w16cid:durableId="579562946">
    <w:abstractNumId w:val="1"/>
  </w:num>
  <w:num w:numId="15" w16cid:durableId="316300898">
    <w:abstractNumId w:val="16"/>
  </w:num>
  <w:num w:numId="16" w16cid:durableId="1343095299">
    <w:abstractNumId w:val="4"/>
  </w:num>
  <w:num w:numId="17" w16cid:durableId="1151142221">
    <w:abstractNumId w:val="2"/>
  </w:num>
  <w:num w:numId="18" w16cid:durableId="1353873736">
    <w:abstractNumId w:val="4"/>
  </w:num>
  <w:num w:numId="19" w16cid:durableId="58868506">
    <w:abstractNumId w:val="0"/>
  </w:num>
  <w:num w:numId="20" w16cid:durableId="10712709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2445787">
    <w:abstractNumId w:val="21"/>
  </w:num>
  <w:num w:numId="22" w16cid:durableId="1691495095">
    <w:abstractNumId w:val="6"/>
  </w:num>
  <w:num w:numId="23" w16cid:durableId="932591313">
    <w:abstractNumId w:val="37"/>
  </w:num>
  <w:num w:numId="24" w16cid:durableId="2087409397">
    <w:abstractNumId w:val="3"/>
  </w:num>
  <w:num w:numId="25" w16cid:durableId="1493058797">
    <w:abstractNumId w:val="29"/>
  </w:num>
  <w:num w:numId="26" w16cid:durableId="38868474">
    <w:abstractNumId w:val="8"/>
  </w:num>
  <w:num w:numId="27" w16cid:durableId="550772872">
    <w:abstractNumId w:val="27"/>
  </w:num>
  <w:num w:numId="28" w16cid:durableId="1107196363">
    <w:abstractNumId w:val="13"/>
  </w:num>
  <w:num w:numId="29" w16cid:durableId="888885141">
    <w:abstractNumId w:val="39"/>
  </w:num>
  <w:num w:numId="30" w16cid:durableId="321665268">
    <w:abstractNumId w:val="19"/>
  </w:num>
  <w:num w:numId="31" w16cid:durableId="1412461504">
    <w:abstractNumId w:val="30"/>
  </w:num>
  <w:num w:numId="32" w16cid:durableId="431317579">
    <w:abstractNumId w:val="11"/>
  </w:num>
  <w:num w:numId="33" w16cid:durableId="1526167761">
    <w:abstractNumId w:val="33"/>
  </w:num>
  <w:num w:numId="34" w16cid:durableId="1911691351">
    <w:abstractNumId w:val="34"/>
  </w:num>
  <w:num w:numId="35" w16cid:durableId="1782336897">
    <w:abstractNumId w:val="24"/>
  </w:num>
  <w:num w:numId="36" w16cid:durableId="19119621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2993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4663764">
    <w:abstractNumId w:val="20"/>
  </w:num>
  <w:num w:numId="39" w16cid:durableId="1067144908">
    <w:abstractNumId w:val="18"/>
  </w:num>
  <w:num w:numId="40" w16cid:durableId="13508378">
    <w:abstractNumId w:val="7"/>
  </w:num>
  <w:num w:numId="41" w16cid:durableId="1151486322">
    <w:abstractNumId w:val="28"/>
  </w:num>
  <w:num w:numId="42" w16cid:durableId="1359429464">
    <w:abstractNumId w:val="36"/>
  </w:num>
  <w:num w:numId="43" w16cid:durableId="688485684">
    <w:abstractNumId w:val="5"/>
  </w:num>
  <w:num w:numId="44" w16cid:durableId="1802267621">
    <w:abstractNumId w:val="23"/>
  </w:num>
  <w:num w:numId="45" w16cid:durableId="1863128009">
    <w:abstractNumId w:val="38"/>
  </w:num>
  <w:num w:numId="46" w16cid:durableId="953171002">
    <w:abstractNumId w:val="14"/>
  </w:num>
  <w:num w:numId="47" w16cid:durableId="1164662929">
    <w:abstractNumId w:val="32"/>
  </w:num>
  <w:num w:numId="48" w16cid:durableId="197402420">
    <w:abstractNumId w:val="35"/>
  </w:num>
  <w:num w:numId="49" w16cid:durableId="9369062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05781"/>
    <w:rsid w:val="000723F0"/>
    <w:rsid w:val="000727E5"/>
    <w:rsid w:val="000B0E4E"/>
    <w:rsid w:val="000C0052"/>
    <w:rsid w:val="000D2E63"/>
    <w:rsid w:val="000D39FC"/>
    <w:rsid w:val="000D3EF4"/>
    <w:rsid w:val="000D4E4C"/>
    <w:rsid w:val="000E3C91"/>
    <w:rsid w:val="000E55CB"/>
    <w:rsid w:val="000E7AEA"/>
    <w:rsid w:val="000F1DBA"/>
    <w:rsid w:val="000F258B"/>
    <w:rsid w:val="00100A35"/>
    <w:rsid w:val="001041D4"/>
    <w:rsid w:val="0011081B"/>
    <w:rsid w:val="0011114C"/>
    <w:rsid w:val="001372A0"/>
    <w:rsid w:val="00157FDC"/>
    <w:rsid w:val="0017170A"/>
    <w:rsid w:val="00177B08"/>
    <w:rsid w:val="001912E2"/>
    <w:rsid w:val="001A6E27"/>
    <w:rsid w:val="001B38AD"/>
    <w:rsid w:val="001C6211"/>
    <w:rsid w:val="001E413E"/>
    <w:rsid w:val="001F157F"/>
    <w:rsid w:val="001F19BC"/>
    <w:rsid w:val="001F1F04"/>
    <w:rsid w:val="001F5D62"/>
    <w:rsid w:val="001F60FA"/>
    <w:rsid w:val="00201171"/>
    <w:rsid w:val="00213953"/>
    <w:rsid w:val="00223B71"/>
    <w:rsid w:val="00234C33"/>
    <w:rsid w:val="00251914"/>
    <w:rsid w:val="00261E65"/>
    <w:rsid w:val="002750C1"/>
    <w:rsid w:val="0029264C"/>
    <w:rsid w:val="002A63E3"/>
    <w:rsid w:val="002B08FF"/>
    <w:rsid w:val="002B4B18"/>
    <w:rsid w:val="002D2C1D"/>
    <w:rsid w:val="002E70A1"/>
    <w:rsid w:val="002F6207"/>
    <w:rsid w:val="00310E5D"/>
    <w:rsid w:val="00311ECE"/>
    <w:rsid w:val="003210F7"/>
    <w:rsid w:val="0032163E"/>
    <w:rsid w:val="003259B7"/>
    <w:rsid w:val="00331FD9"/>
    <w:rsid w:val="003429AB"/>
    <w:rsid w:val="0034355C"/>
    <w:rsid w:val="00346C46"/>
    <w:rsid w:val="003557A8"/>
    <w:rsid w:val="003613AA"/>
    <w:rsid w:val="00363D04"/>
    <w:rsid w:val="003829C6"/>
    <w:rsid w:val="003864FF"/>
    <w:rsid w:val="00393110"/>
    <w:rsid w:val="00397DEC"/>
    <w:rsid w:val="003B58D6"/>
    <w:rsid w:val="003C5CD1"/>
    <w:rsid w:val="003D46DA"/>
    <w:rsid w:val="003D4875"/>
    <w:rsid w:val="003E2147"/>
    <w:rsid w:val="003E27AC"/>
    <w:rsid w:val="003F3C42"/>
    <w:rsid w:val="003F5DC6"/>
    <w:rsid w:val="00401C01"/>
    <w:rsid w:val="0041299F"/>
    <w:rsid w:val="0042223B"/>
    <w:rsid w:val="00425D61"/>
    <w:rsid w:val="00442B8B"/>
    <w:rsid w:val="004573F3"/>
    <w:rsid w:val="004618DE"/>
    <w:rsid w:val="00463EA2"/>
    <w:rsid w:val="00484032"/>
    <w:rsid w:val="004949FD"/>
    <w:rsid w:val="00494C58"/>
    <w:rsid w:val="00494E3A"/>
    <w:rsid w:val="004A0B80"/>
    <w:rsid w:val="004A327F"/>
    <w:rsid w:val="004B08C6"/>
    <w:rsid w:val="004B181E"/>
    <w:rsid w:val="004C1526"/>
    <w:rsid w:val="004C18E2"/>
    <w:rsid w:val="004C1D3F"/>
    <w:rsid w:val="004C3E47"/>
    <w:rsid w:val="004D05D2"/>
    <w:rsid w:val="004D0F08"/>
    <w:rsid w:val="00503F9D"/>
    <w:rsid w:val="005126B1"/>
    <w:rsid w:val="00512E11"/>
    <w:rsid w:val="00513180"/>
    <w:rsid w:val="005169D0"/>
    <w:rsid w:val="00533732"/>
    <w:rsid w:val="00552708"/>
    <w:rsid w:val="00596B7E"/>
    <w:rsid w:val="005B5EF5"/>
    <w:rsid w:val="005C7D01"/>
    <w:rsid w:val="005D54DD"/>
    <w:rsid w:val="005D6192"/>
    <w:rsid w:val="005E79A6"/>
    <w:rsid w:val="00623957"/>
    <w:rsid w:val="00625CCC"/>
    <w:rsid w:val="00632A9F"/>
    <w:rsid w:val="00652AA9"/>
    <w:rsid w:val="00655725"/>
    <w:rsid w:val="006659EC"/>
    <w:rsid w:val="00673F0C"/>
    <w:rsid w:val="006835E4"/>
    <w:rsid w:val="0068572F"/>
    <w:rsid w:val="0068583F"/>
    <w:rsid w:val="00695BA3"/>
    <w:rsid w:val="0069684F"/>
    <w:rsid w:val="006A3031"/>
    <w:rsid w:val="006A397C"/>
    <w:rsid w:val="006B387E"/>
    <w:rsid w:val="006C07E7"/>
    <w:rsid w:val="006C0CBD"/>
    <w:rsid w:val="006C2C65"/>
    <w:rsid w:val="006C5D80"/>
    <w:rsid w:val="006D052A"/>
    <w:rsid w:val="006D2B0E"/>
    <w:rsid w:val="006D36DB"/>
    <w:rsid w:val="006D6768"/>
    <w:rsid w:val="006E2A83"/>
    <w:rsid w:val="006E5256"/>
    <w:rsid w:val="0071233D"/>
    <w:rsid w:val="007143D2"/>
    <w:rsid w:val="00732C1F"/>
    <w:rsid w:val="00736351"/>
    <w:rsid w:val="00737E04"/>
    <w:rsid w:val="007449EA"/>
    <w:rsid w:val="00751056"/>
    <w:rsid w:val="00753AFA"/>
    <w:rsid w:val="00755CED"/>
    <w:rsid w:val="0076179E"/>
    <w:rsid w:val="0076217F"/>
    <w:rsid w:val="0076594C"/>
    <w:rsid w:val="007701CE"/>
    <w:rsid w:val="00773D5C"/>
    <w:rsid w:val="00777124"/>
    <w:rsid w:val="00783CE9"/>
    <w:rsid w:val="00791216"/>
    <w:rsid w:val="00792FB4"/>
    <w:rsid w:val="007A3E25"/>
    <w:rsid w:val="007A45CC"/>
    <w:rsid w:val="007A49EB"/>
    <w:rsid w:val="007A7EC6"/>
    <w:rsid w:val="007C2E52"/>
    <w:rsid w:val="007C2EBA"/>
    <w:rsid w:val="007C403E"/>
    <w:rsid w:val="007D593C"/>
    <w:rsid w:val="007E2085"/>
    <w:rsid w:val="007E6082"/>
    <w:rsid w:val="007F2BA5"/>
    <w:rsid w:val="00814BE9"/>
    <w:rsid w:val="00817C9A"/>
    <w:rsid w:val="00820275"/>
    <w:rsid w:val="00826B85"/>
    <w:rsid w:val="00835BC3"/>
    <w:rsid w:val="00844919"/>
    <w:rsid w:val="0085153D"/>
    <w:rsid w:val="008608E4"/>
    <w:rsid w:val="008735A8"/>
    <w:rsid w:val="00873BED"/>
    <w:rsid w:val="00884C43"/>
    <w:rsid w:val="008852E4"/>
    <w:rsid w:val="008A6802"/>
    <w:rsid w:val="008C24D0"/>
    <w:rsid w:val="008C59A5"/>
    <w:rsid w:val="008D47A0"/>
    <w:rsid w:val="008E427E"/>
    <w:rsid w:val="008E4541"/>
    <w:rsid w:val="008E6E54"/>
    <w:rsid w:val="008F5C53"/>
    <w:rsid w:val="00902342"/>
    <w:rsid w:val="00904C98"/>
    <w:rsid w:val="009053BE"/>
    <w:rsid w:val="009063B7"/>
    <w:rsid w:val="00906B79"/>
    <w:rsid w:val="00907D3B"/>
    <w:rsid w:val="00915495"/>
    <w:rsid w:val="009173FE"/>
    <w:rsid w:val="00920B40"/>
    <w:rsid w:val="00932970"/>
    <w:rsid w:val="0094145B"/>
    <w:rsid w:val="00957D58"/>
    <w:rsid w:val="00972BBF"/>
    <w:rsid w:val="0098415A"/>
    <w:rsid w:val="00995F3E"/>
    <w:rsid w:val="009E53F6"/>
    <w:rsid w:val="009E6CEB"/>
    <w:rsid w:val="00A00B63"/>
    <w:rsid w:val="00A23875"/>
    <w:rsid w:val="00A33021"/>
    <w:rsid w:val="00A36041"/>
    <w:rsid w:val="00A44962"/>
    <w:rsid w:val="00A473BF"/>
    <w:rsid w:val="00A70F48"/>
    <w:rsid w:val="00AA5787"/>
    <w:rsid w:val="00AA714F"/>
    <w:rsid w:val="00AD04A3"/>
    <w:rsid w:val="00B143FE"/>
    <w:rsid w:val="00B243F2"/>
    <w:rsid w:val="00B2519D"/>
    <w:rsid w:val="00B331B5"/>
    <w:rsid w:val="00B33A92"/>
    <w:rsid w:val="00B366AC"/>
    <w:rsid w:val="00B50B1F"/>
    <w:rsid w:val="00B54018"/>
    <w:rsid w:val="00B54421"/>
    <w:rsid w:val="00B557FF"/>
    <w:rsid w:val="00B80382"/>
    <w:rsid w:val="00B872CA"/>
    <w:rsid w:val="00B9306B"/>
    <w:rsid w:val="00BB0A0E"/>
    <w:rsid w:val="00BC1245"/>
    <w:rsid w:val="00BD5A86"/>
    <w:rsid w:val="00BE3F20"/>
    <w:rsid w:val="00BE4CB9"/>
    <w:rsid w:val="00C05FC8"/>
    <w:rsid w:val="00C108A8"/>
    <w:rsid w:val="00C138E0"/>
    <w:rsid w:val="00C3501E"/>
    <w:rsid w:val="00C41845"/>
    <w:rsid w:val="00C55031"/>
    <w:rsid w:val="00C57F9D"/>
    <w:rsid w:val="00C84B6A"/>
    <w:rsid w:val="00C90193"/>
    <w:rsid w:val="00C91036"/>
    <w:rsid w:val="00C97B94"/>
    <w:rsid w:val="00CA1880"/>
    <w:rsid w:val="00CA38AC"/>
    <w:rsid w:val="00CA48CF"/>
    <w:rsid w:val="00CC085D"/>
    <w:rsid w:val="00CC3A67"/>
    <w:rsid w:val="00CC501A"/>
    <w:rsid w:val="00CD0322"/>
    <w:rsid w:val="00CD6FC9"/>
    <w:rsid w:val="00CE5093"/>
    <w:rsid w:val="00CE7C2F"/>
    <w:rsid w:val="00D23B0B"/>
    <w:rsid w:val="00D23EDD"/>
    <w:rsid w:val="00D302AD"/>
    <w:rsid w:val="00D4515E"/>
    <w:rsid w:val="00D74351"/>
    <w:rsid w:val="00D76292"/>
    <w:rsid w:val="00D766AC"/>
    <w:rsid w:val="00D86646"/>
    <w:rsid w:val="00D93CCD"/>
    <w:rsid w:val="00DA51A1"/>
    <w:rsid w:val="00DA71B9"/>
    <w:rsid w:val="00DC1F0C"/>
    <w:rsid w:val="00DC7F96"/>
    <w:rsid w:val="00DD53BA"/>
    <w:rsid w:val="00DD6E32"/>
    <w:rsid w:val="00DE001A"/>
    <w:rsid w:val="00DF1829"/>
    <w:rsid w:val="00E174A3"/>
    <w:rsid w:val="00E26B0D"/>
    <w:rsid w:val="00E41528"/>
    <w:rsid w:val="00E55601"/>
    <w:rsid w:val="00E55674"/>
    <w:rsid w:val="00E55EEC"/>
    <w:rsid w:val="00E5717B"/>
    <w:rsid w:val="00E621C7"/>
    <w:rsid w:val="00E62C51"/>
    <w:rsid w:val="00E65D5E"/>
    <w:rsid w:val="00E71F05"/>
    <w:rsid w:val="00E80CF6"/>
    <w:rsid w:val="00E912CA"/>
    <w:rsid w:val="00E91C7F"/>
    <w:rsid w:val="00E94EF8"/>
    <w:rsid w:val="00EA0B5B"/>
    <w:rsid w:val="00EB3895"/>
    <w:rsid w:val="00EB66F7"/>
    <w:rsid w:val="00EC056F"/>
    <w:rsid w:val="00ED39E0"/>
    <w:rsid w:val="00ED3F8B"/>
    <w:rsid w:val="00F017CE"/>
    <w:rsid w:val="00F04FBD"/>
    <w:rsid w:val="00F077E7"/>
    <w:rsid w:val="00F078B6"/>
    <w:rsid w:val="00F11D29"/>
    <w:rsid w:val="00F2174D"/>
    <w:rsid w:val="00F57865"/>
    <w:rsid w:val="00F70E63"/>
    <w:rsid w:val="00F85B2D"/>
    <w:rsid w:val="00F90CD8"/>
    <w:rsid w:val="00F92310"/>
    <w:rsid w:val="00F94805"/>
    <w:rsid w:val="00F97E19"/>
    <w:rsid w:val="00FA3154"/>
    <w:rsid w:val="00FA6E86"/>
    <w:rsid w:val="00FC48FE"/>
    <w:rsid w:val="00FC7B23"/>
    <w:rsid w:val="00FD39C7"/>
    <w:rsid w:val="00FD630B"/>
    <w:rsid w:val="00FF108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link w:val="MargeChar"/>
    <w:pPr>
      <w:ind w:firstLine="0"/>
    </w:pPr>
  </w:style>
  <w:style w:type="paragraph" w:styleId="Notedebasdepage">
    <w:name w:val="footnote text"/>
    <w:basedOn w:val="Normal"/>
    <w:link w:val="NotedebasdepageCar"/>
    <w:uiPriority w:val="99"/>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character" w:customStyle="1" w:styleId="MargeChar">
    <w:name w:val="Marge Char"/>
    <w:basedOn w:val="Policepardfaut"/>
    <w:link w:val="Marge"/>
    <w:rsid w:val="003864FF"/>
    <w:rPr>
      <w:rFonts w:ascii="Arial" w:eastAsia="Times New Roman" w:hAnsi="Arial"/>
      <w:snapToGrid w:val="0"/>
      <w:sz w:val="22"/>
      <w:szCs w:val="24"/>
      <w:lang w:eastAsia="en-US"/>
    </w:rPr>
  </w:style>
  <w:style w:type="paragraph" w:customStyle="1" w:styleId="COI">
    <w:name w:val="COI"/>
    <w:basedOn w:val="Marge"/>
    <w:link w:val="COIChar"/>
    <w:rsid w:val="003864FF"/>
    <w:pPr>
      <w:tabs>
        <w:tab w:val="clear" w:pos="567"/>
        <w:tab w:val="left" w:pos="709"/>
      </w:tabs>
    </w:pPr>
    <w:rPr>
      <w:rFonts w:eastAsia="Arial Unicode MS"/>
      <w:szCs w:val="22"/>
      <w:lang w:val="en-GB"/>
    </w:rPr>
  </w:style>
  <w:style w:type="character" w:customStyle="1" w:styleId="COIChar">
    <w:name w:val="COI Char"/>
    <w:link w:val="COI"/>
    <w:rsid w:val="003864FF"/>
    <w:rPr>
      <w:rFonts w:ascii="Arial" w:eastAsia="Arial Unicode MS" w:hAnsi="Arial"/>
      <w:snapToGrid w:val="0"/>
      <w:sz w:val="22"/>
      <w:szCs w:val="22"/>
      <w:lang w:val="en-GB" w:eastAsia="en-US"/>
    </w:rPr>
  </w:style>
  <w:style w:type="paragraph" w:customStyle="1" w:styleId="paranumbered">
    <w:name w:val="paranumbered"/>
    <w:basedOn w:val="Normal"/>
    <w:next w:val="Normal"/>
    <w:qFormat/>
    <w:rsid w:val="003864FF"/>
    <w:pPr>
      <w:numPr>
        <w:numId w:val="34"/>
      </w:numPr>
      <w:tabs>
        <w:tab w:val="clear" w:pos="567"/>
      </w:tabs>
      <w:snapToGrid/>
      <w:spacing w:before="120" w:line="276" w:lineRule="auto"/>
      <w:jc w:val="both"/>
    </w:pPr>
    <w:rPr>
      <w:rFonts w:eastAsia="Arial" w:cs="Arial"/>
      <w:snapToGrid/>
      <w:szCs w:val="22"/>
      <w:lang w:val="en-GB" w:eastAsia="en-GB"/>
    </w:rPr>
  </w:style>
  <w:style w:type="character" w:styleId="Mentionnonrsolue">
    <w:name w:val="Unresolved Mention"/>
    <w:basedOn w:val="Policepardfaut"/>
    <w:uiPriority w:val="99"/>
    <w:semiHidden/>
    <w:unhideWhenUsed/>
    <w:rsid w:val="00B331B5"/>
    <w:rPr>
      <w:color w:val="605E5C"/>
      <w:shd w:val="clear" w:color="auto" w:fill="E1DFDD"/>
    </w:rPr>
  </w:style>
  <w:style w:type="table" w:customStyle="1" w:styleId="Grilledutableau1">
    <w:name w:val="Grille du tableau1"/>
    <w:basedOn w:val="TableauNormal"/>
    <w:next w:val="Grilledutableau"/>
    <w:rsid w:val="004A0B80"/>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F1088"/>
    <w:pPr>
      <w:tabs>
        <w:tab w:val="clear" w:pos="567"/>
      </w:tabs>
      <w:snapToGrid/>
      <w:spacing w:before="100" w:beforeAutospacing="1" w:after="100" w:afterAutospacing="1"/>
    </w:pPr>
    <w:rPr>
      <w:rFonts w:ascii="Times New Roman" w:eastAsia="Times New Roman" w:hAnsi="Times New Roman"/>
      <w:snapToGrid/>
      <w:sz w:val="24"/>
    </w:rPr>
  </w:style>
  <w:style w:type="character" w:customStyle="1" w:styleId="cf01">
    <w:name w:val="cf01"/>
    <w:basedOn w:val="Policepardfaut"/>
    <w:rsid w:val="00FF10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 w:id="20392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eanexpert.org/document/28482"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goa-on.org" TargetMode="Externa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https://oceanexpert.org/document/28087" TargetMode="Externa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oa.iode.org" TargetMode="Externa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375266.locale=fr" TargetMode="External"/><Relationship Id="rId24" Type="http://schemas.openxmlformats.org/officeDocument/2006/relationships/footer" Target="footer4.xml"/><Relationship Id="rId32" Type="http://schemas.openxmlformats.org/officeDocument/2006/relationships/hyperlink" Target="https://www.ipcc.ch/srocc/" TargetMode="Externa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eanexpert.org/document/30700" TargetMode="External"/><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header" Target="header3.xml"/><Relationship Id="rId19" Type="http://schemas.openxmlformats.org/officeDocument/2006/relationships/footer" Target="footer2.xml"/><Relationship Id="rId31" Type="http://schemas.openxmlformats.org/officeDocument/2006/relationships/hyperlink" Target="https://doi.org/10.5194/essd-12-3269-202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nesdoc.unesco.org/ark:/48223/pf0000381921.locale=fr"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hyperlink" Target="http://goa-on.org/oars/overview.php" TargetMode="External"/><Relationship Id="rId43" Type="http://schemas.openxmlformats.org/officeDocument/2006/relationships/footer" Target="footer1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B20C-12F1-4343-B109-22E8025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3443</Words>
  <Characters>19367</Characters>
  <Application>Microsoft Office Word</Application>
  <DocSecurity>0</DocSecurity>
  <Lines>496</Lines>
  <Paragraphs>247</Paragraphs>
  <ScaleCrop>false</ScaleCrop>
  <HeadingPairs>
    <vt:vector size="2" baseType="variant">
      <vt:variant>
        <vt:lpstr>Titre</vt:lpstr>
      </vt:variant>
      <vt:variant>
        <vt:i4>1</vt:i4>
      </vt:variant>
    </vt:vector>
  </HeadingPairs>
  <TitlesOfParts>
    <vt:vector size="1" baseType="lpstr">
      <vt:lpstr>Note conceptuelle révisée sur le rapport de la COI sur l’état de l’océan</vt:lpstr>
    </vt:vector>
  </TitlesOfParts>
  <Company>Unesco</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conceptuelle révisée sur le rapport de la COI sur l’état de l’océan</dc:title>
  <dc:subject>IOC/A-32/4.2.Doc(1)</dc:subject>
  <dc:creator>as.machu@unesco.org</dc:creator>
  <cp:keywords>18.12F</cp:keywords>
  <dc:description/>
  <cp:lastModifiedBy>Machu, Anne-sophie</cp:lastModifiedBy>
  <cp:revision>3</cp:revision>
  <cp:lastPrinted>2012-08-02T14:52:00Z</cp:lastPrinted>
  <dcterms:created xsi:type="dcterms:W3CDTF">2023-06-09T08:00:00Z</dcterms:created>
  <dcterms:modified xsi:type="dcterms:W3CDTF">2023-06-09T08:12:00Z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202301812</vt:lpwstr>
  </property>
</Properties>
</file>