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Titre1"/>
        <w:spacing w:before="480"/>
        <w:jc w:val="left"/>
      </w:pPr>
    </w:p>
    <w:p w14:paraId="748272EF" w14:textId="435004E9" w:rsidR="00EB3895" w:rsidRPr="00EB3895" w:rsidRDefault="00EB3895" w:rsidP="00EB3895">
      <w:pPr>
        <w:pStyle w:val="Titre1"/>
        <w:spacing w:before="1800" w:after="0"/>
      </w:pPr>
      <w:r w:rsidRPr="00EB3895">
        <w:t xml:space="preserve">COMMISSION OCÉANOGRAPHIQUE </w:t>
      </w:r>
      <w:r w:rsidR="00DA71B9">
        <w:t>I</w:t>
      </w:r>
      <w:r w:rsidRPr="00EB3895">
        <w:t>NTERGOUVERNEMENTALE</w:t>
      </w:r>
    </w:p>
    <w:p w14:paraId="0F1DC779" w14:textId="4A8CA744" w:rsidR="00EB3895" w:rsidRPr="00EB3895" w:rsidRDefault="00EB3895" w:rsidP="00EB3895">
      <w:pPr>
        <w:jc w:val="center"/>
        <w:rPr>
          <w:bCs/>
        </w:rPr>
      </w:pPr>
      <w:r w:rsidRPr="00EB3895">
        <w:rPr>
          <w:bCs/>
        </w:rPr>
        <w:t>(</w:t>
      </w:r>
      <w:proofErr w:type="gramStart"/>
      <w:r w:rsidRPr="00EB3895">
        <w:rPr>
          <w:bCs/>
        </w:rPr>
        <w:t>de</w:t>
      </w:r>
      <w:proofErr w:type="gramEnd"/>
      <w:r w:rsidRPr="00EB3895">
        <w:rPr>
          <w:bCs/>
        </w:rPr>
        <w:t xml:space="preserve"> l</w:t>
      </w:r>
      <w:r w:rsidR="00C3317D">
        <w:rPr>
          <w:bCs/>
        </w:rPr>
        <w:t>’</w:t>
      </w:r>
      <w:r w:rsidRPr="00EB3895">
        <w:rPr>
          <w:bCs/>
        </w:rPr>
        <w:t>UNESCO)</w:t>
      </w:r>
    </w:p>
    <w:p w14:paraId="5B0D4193" w14:textId="1D52EACA" w:rsidR="00EB3895" w:rsidRPr="00EB3895" w:rsidRDefault="000723F0" w:rsidP="00EB3895">
      <w:pPr>
        <w:spacing w:before="240"/>
        <w:jc w:val="center"/>
        <w:rPr>
          <w:b/>
        </w:rPr>
      </w:pPr>
      <w:r>
        <w:rPr>
          <w:b/>
        </w:rPr>
        <w:t>Trente-deuxi</w:t>
      </w:r>
      <w:r w:rsidR="00EB3895" w:rsidRPr="00EB3895">
        <w:rPr>
          <w:b/>
        </w:rPr>
        <w:t xml:space="preserve">ème session </w:t>
      </w:r>
      <w:r>
        <w:rPr>
          <w:b/>
        </w:rPr>
        <w:t>de l</w:t>
      </w:r>
      <w:r w:rsidR="00C3317D">
        <w:rPr>
          <w:b/>
        </w:rPr>
        <w:t>’</w:t>
      </w:r>
      <w:r>
        <w:rPr>
          <w:b/>
        </w:rPr>
        <w:t>Assemblée</w:t>
      </w:r>
      <w:r w:rsidR="00EB3895">
        <w:rPr>
          <w:b/>
        </w:rPr>
        <w:br/>
      </w:r>
      <w:r w:rsidR="00EB3895" w:rsidRPr="00EB3895">
        <w:rPr>
          <w:bCs/>
        </w:rPr>
        <w:t xml:space="preserve">UNESCO, Paris, </w:t>
      </w:r>
      <w:r>
        <w:rPr>
          <w:bCs/>
        </w:rPr>
        <w:t>21-30</w:t>
      </w:r>
      <w:r w:rsidR="00421E71">
        <w:rPr>
          <w:bCs/>
        </w:rPr>
        <w:t> </w:t>
      </w:r>
      <w:r w:rsidR="00EB3895" w:rsidRPr="00EB3895">
        <w:rPr>
          <w:bCs/>
        </w:rPr>
        <w:t>juin 202</w:t>
      </w:r>
      <w:r>
        <w:rPr>
          <w:bCs/>
        </w:rPr>
        <w:t>3</w:t>
      </w:r>
    </w:p>
    <w:p w14:paraId="607D1C93" w14:textId="5AC15EF2" w:rsidR="00EB3895" w:rsidRDefault="005C7D01" w:rsidP="005C7D01">
      <w:pPr>
        <w:pStyle w:val="Titre1"/>
        <w:spacing w:before="360" w:after="360"/>
        <w:jc w:val="left"/>
        <w:rPr>
          <w:rFonts w:cs="Arial"/>
          <w:b w:val="0"/>
          <w:bCs w:val="0"/>
          <w:u w:val="single"/>
        </w:rPr>
      </w:pPr>
      <w:r w:rsidRPr="005C7D01">
        <w:rPr>
          <w:rFonts w:cs="Arial"/>
          <w:b w:val="0"/>
          <w:bCs w:val="0"/>
          <w:u w:val="single"/>
        </w:rPr>
        <w:t>Points</w:t>
      </w:r>
      <w:r w:rsidR="00421E71">
        <w:rPr>
          <w:rFonts w:cs="Arial"/>
          <w:b w:val="0"/>
          <w:bCs w:val="0"/>
          <w:u w:val="single"/>
        </w:rPr>
        <w:t> </w:t>
      </w:r>
      <w:r w:rsidR="00C3317D">
        <w:rPr>
          <w:rFonts w:cs="Arial"/>
          <w:u w:val="single"/>
        </w:rPr>
        <w:t>4</w:t>
      </w:r>
      <w:r w:rsidRPr="005C7D01">
        <w:rPr>
          <w:rFonts w:cs="Arial"/>
          <w:u w:val="single"/>
        </w:rPr>
        <w:t>.</w:t>
      </w:r>
      <w:r w:rsidR="00803653">
        <w:rPr>
          <w:rFonts w:cs="Arial"/>
          <w:u w:val="single"/>
        </w:rPr>
        <w:t>1</w:t>
      </w:r>
      <w:r w:rsidR="00C3317D">
        <w:rPr>
          <w:rFonts w:cs="Arial"/>
          <w:u w:val="single"/>
        </w:rPr>
        <w:t>0</w:t>
      </w:r>
      <w:r w:rsidRPr="005C7D01">
        <w:rPr>
          <w:rFonts w:cs="Arial"/>
          <w:b w:val="0"/>
          <w:bCs w:val="0"/>
          <w:u w:val="single"/>
        </w:rPr>
        <w:t xml:space="preserve"> de l</w:t>
      </w:r>
      <w:r w:rsidR="00C3317D">
        <w:rPr>
          <w:rFonts w:cs="Arial"/>
          <w:b w:val="0"/>
          <w:bCs w:val="0"/>
          <w:u w:val="single"/>
        </w:rPr>
        <w:t>’</w:t>
      </w:r>
      <w:r w:rsidRPr="005C7D01">
        <w:rPr>
          <w:rFonts w:cs="Arial"/>
          <w:b w:val="0"/>
          <w:bCs w:val="0"/>
          <w:u w:val="single"/>
        </w:rPr>
        <w:t>ordre d</w:t>
      </w:r>
      <w:r>
        <w:rPr>
          <w:rFonts w:cs="Arial"/>
          <w:b w:val="0"/>
          <w:bCs w:val="0"/>
          <w:u w:val="single"/>
        </w:rPr>
        <w:t>u jour provisoire</w:t>
      </w:r>
    </w:p>
    <w:p w14:paraId="0F51379D" w14:textId="64295B22" w:rsidR="00191E6D" w:rsidRDefault="00C3317D" w:rsidP="008C2B13">
      <w:pPr>
        <w:pStyle w:val="Titre1"/>
        <w:spacing w:before="360" w:after="480"/>
      </w:pPr>
      <w:r w:rsidRPr="00C3317D">
        <w:t xml:space="preserve">ÉTAT DE MISE EN ŒUVRE DE LA DÉCENNIE DES NATIONS UNIES POUR LES SCIENCES OCÉANIQUES AU SERVICE DU DÉVELOPPEMENT DURABLE </w:t>
      </w:r>
      <w:r>
        <w:br/>
      </w:r>
      <w:r w:rsidRPr="00C3317D">
        <w:t>ET PERSPECTIVES POUR 2024</w:t>
      </w:r>
      <w:r>
        <w:t xml:space="preserve"> </w:t>
      </w:r>
    </w:p>
    <w:tbl>
      <w:tblPr>
        <w:tblStyle w:val="Grilledutableau"/>
        <w:tblW w:w="0" w:type="auto"/>
        <w:tblInd w:w="1271" w:type="dxa"/>
        <w:tblLook w:val="04A0" w:firstRow="1" w:lastRow="0" w:firstColumn="1" w:lastColumn="0" w:noHBand="0" w:noVBand="1"/>
      </w:tblPr>
      <w:tblGrid>
        <w:gridCol w:w="7088"/>
      </w:tblGrid>
      <w:tr w:rsidR="005C7D01" w14:paraId="1A94C8A9" w14:textId="77777777" w:rsidTr="008C2B13">
        <w:tc>
          <w:tcPr>
            <w:tcW w:w="7088" w:type="dxa"/>
          </w:tcPr>
          <w:p w14:paraId="1FD6FF16" w14:textId="77777777" w:rsidR="005C7D01" w:rsidRDefault="005C7D01" w:rsidP="00BC0383">
            <w:pPr>
              <w:spacing w:before="120" w:after="240"/>
              <w:jc w:val="center"/>
              <w:rPr>
                <w:rFonts w:eastAsia="Times New Roman" w:cs="Arial"/>
                <w:b/>
                <w:bCs/>
                <w:szCs w:val="22"/>
                <w:u w:val="single"/>
                <w:lang w:eastAsia="en-US"/>
              </w:rPr>
            </w:pPr>
            <w:r w:rsidRPr="005C7D01">
              <w:rPr>
                <w:rFonts w:eastAsia="Times New Roman" w:cs="Arial"/>
                <w:b/>
                <w:bCs/>
                <w:szCs w:val="22"/>
                <w:u w:val="single"/>
                <w:lang w:eastAsia="en-US"/>
              </w:rPr>
              <w:t>Résumé</w:t>
            </w:r>
          </w:p>
          <w:p w14:paraId="1544FF8E" w14:textId="35F5A5CD" w:rsidR="00C3317D" w:rsidRPr="00C3317D" w:rsidRDefault="00C3317D" w:rsidP="00C3317D">
            <w:pPr>
              <w:tabs>
                <w:tab w:val="clear" w:pos="567"/>
              </w:tabs>
              <w:snapToGrid/>
              <w:spacing w:after="240"/>
              <w:ind w:left="283" w:right="283"/>
              <w:jc w:val="both"/>
              <w:rPr>
                <w:rFonts w:eastAsia="Times New Roman" w:cs="Arial"/>
                <w:szCs w:val="22"/>
                <w:lang w:eastAsia="en-US"/>
              </w:rPr>
            </w:pPr>
            <w:r w:rsidRPr="00C3317D">
              <w:rPr>
                <w:rFonts w:eastAsia="Times New Roman" w:cs="Arial"/>
                <w:szCs w:val="22"/>
                <w:lang w:eastAsia="en-US"/>
              </w:rPr>
              <w:t>En application de la résolution</w:t>
            </w:r>
            <w:r w:rsidR="00421E71">
              <w:rPr>
                <w:rFonts w:eastAsia="Times New Roman" w:cs="Arial"/>
                <w:szCs w:val="22"/>
                <w:lang w:eastAsia="en-US"/>
              </w:rPr>
              <w:t> </w:t>
            </w:r>
            <w:r w:rsidRPr="00C3317D">
              <w:rPr>
                <w:rFonts w:eastAsia="Times New Roman" w:cs="Arial"/>
                <w:szCs w:val="22"/>
                <w:lang w:eastAsia="en-US"/>
              </w:rPr>
              <w:t>EC-55/1, le présent document fournit des informations sur les principaux résultats de la mise en œuvre de la Décennie de l</w:t>
            </w:r>
            <w:r>
              <w:rPr>
                <w:rFonts w:eastAsia="Times New Roman" w:cs="Arial"/>
                <w:szCs w:val="22"/>
                <w:lang w:eastAsia="en-US"/>
              </w:rPr>
              <w:t>’</w:t>
            </w:r>
            <w:r w:rsidRPr="00C3317D">
              <w:rPr>
                <w:rFonts w:eastAsia="Times New Roman" w:cs="Arial"/>
                <w:szCs w:val="22"/>
                <w:lang w:eastAsia="en-US"/>
              </w:rPr>
              <w:t>Océan dans quatre grands domaines d</w:t>
            </w:r>
            <w:r>
              <w:rPr>
                <w:rFonts w:eastAsia="Times New Roman" w:cs="Arial"/>
                <w:szCs w:val="22"/>
                <w:lang w:eastAsia="en-US"/>
              </w:rPr>
              <w:t>’</w:t>
            </w:r>
            <w:r w:rsidRPr="00C3317D">
              <w:rPr>
                <w:rFonts w:eastAsia="Times New Roman" w:cs="Arial"/>
                <w:szCs w:val="22"/>
                <w:lang w:eastAsia="en-US"/>
              </w:rPr>
              <w:t>action</w:t>
            </w:r>
            <w:r w:rsidR="006B0247">
              <w:rPr>
                <w:rFonts w:eastAsia="Times New Roman" w:cs="Arial"/>
                <w:szCs w:val="22"/>
                <w:lang w:eastAsia="en-US"/>
              </w:rPr>
              <w:t xml:space="preserve"> –</w:t>
            </w:r>
            <w:r w:rsidRPr="00C3317D">
              <w:rPr>
                <w:rFonts w:eastAsia="Times New Roman" w:cs="Arial"/>
                <w:szCs w:val="22"/>
                <w:lang w:eastAsia="en-US"/>
              </w:rPr>
              <w:t xml:space="preserve"> (i)</w:t>
            </w:r>
            <w:r w:rsidR="006B0247">
              <w:rPr>
                <w:rFonts w:eastAsia="Times New Roman" w:cs="Arial"/>
                <w:szCs w:val="22"/>
                <w:lang w:eastAsia="en-US"/>
              </w:rPr>
              <w:t> </w:t>
            </w:r>
            <w:r w:rsidRPr="00C3317D">
              <w:rPr>
                <w:rFonts w:eastAsia="Times New Roman" w:cs="Arial"/>
                <w:szCs w:val="22"/>
                <w:lang w:eastAsia="en-US"/>
              </w:rPr>
              <w:t>actions de la Décennie</w:t>
            </w:r>
            <w:r w:rsidR="00421E71">
              <w:rPr>
                <w:rFonts w:eastAsia="Times New Roman" w:cs="Arial"/>
                <w:szCs w:val="22"/>
                <w:lang w:eastAsia="en-US"/>
              </w:rPr>
              <w:t> </w:t>
            </w:r>
            <w:r w:rsidRPr="00C3317D">
              <w:rPr>
                <w:rFonts w:eastAsia="Times New Roman" w:cs="Arial"/>
                <w:szCs w:val="22"/>
                <w:lang w:eastAsia="en-US"/>
              </w:rPr>
              <w:t>; (ii) structures de gouvernance et de coordination et groupes de travail informels</w:t>
            </w:r>
            <w:r w:rsidR="00421E71">
              <w:rPr>
                <w:rFonts w:eastAsia="Times New Roman" w:cs="Arial"/>
                <w:szCs w:val="22"/>
                <w:lang w:eastAsia="en-US"/>
              </w:rPr>
              <w:t> </w:t>
            </w:r>
            <w:r w:rsidRPr="00C3317D">
              <w:rPr>
                <w:rFonts w:eastAsia="Times New Roman" w:cs="Arial"/>
                <w:szCs w:val="22"/>
                <w:lang w:eastAsia="en-US"/>
              </w:rPr>
              <w:t>; (iii) mobilisation de ressources</w:t>
            </w:r>
            <w:r w:rsidR="00421E71">
              <w:rPr>
                <w:rFonts w:eastAsia="Times New Roman" w:cs="Arial"/>
                <w:szCs w:val="22"/>
                <w:lang w:eastAsia="en-US"/>
              </w:rPr>
              <w:t> </w:t>
            </w:r>
            <w:r w:rsidRPr="00C3317D">
              <w:rPr>
                <w:rFonts w:eastAsia="Times New Roman" w:cs="Arial"/>
                <w:szCs w:val="22"/>
                <w:lang w:eastAsia="en-US"/>
              </w:rPr>
              <w:t>; (iv) participation et sensibilisation des parties prenantes – au cours de la période allant de juin 2021 à mai 2023. Il établit les défis et les possibilités qui restent à examiner dans chaque domaine d</w:t>
            </w:r>
            <w:r>
              <w:rPr>
                <w:rFonts w:eastAsia="Times New Roman" w:cs="Arial"/>
                <w:szCs w:val="22"/>
                <w:lang w:eastAsia="en-US"/>
              </w:rPr>
              <w:t>’</w:t>
            </w:r>
            <w:r w:rsidRPr="00C3317D">
              <w:rPr>
                <w:rFonts w:eastAsia="Times New Roman" w:cs="Arial"/>
                <w:szCs w:val="22"/>
                <w:lang w:eastAsia="en-US"/>
              </w:rPr>
              <w:t>action et conclut en proposant une vision et des perspectives pour</w:t>
            </w:r>
            <w:r w:rsidR="008C2B13">
              <w:rPr>
                <w:rFonts w:eastAsia="Times New Roman" w:cs="Arial"/>
                <w:szCs w:val="22"/>
                <w:lang w:eastAsia="en-US"/>
              </w:rPr>
              <w:t> </w:t>
            </w:r>
            <w:r w:rsidRPr="00C3317D">
              <w:rPr>
                <w:rFonts w:eastAsia="Times New Roman" w:cs="Arial"/>
                <w:szCs w:val="22"/>
                <w:lang w:eastAsia="en-US"/>
              </w:rPr>
              <w:t>2023-2024 et au-delà.</w:t>
            </w:r>
          </w:p>
          <w:p w14:paraId="130CB0B9" w14:textId="2C5BA063" w:rsidR="00C3317D" w:rsidRPr="00C3317D" w:rsidRDefault="00C3317D" w:rsidP="00C3317D">
            <w:pPr>
              <w:tabs>
                <w:tab w:val="clear" w:pos="567"/>
              </w:tabs>
              <w:snapToGrid/>
              <w:spacing w:after="240"/>
              <w:ind w:left="283" w:right="283"/>
              <w:jc w:val="both"/>
              <w:rPr>
                <w:rFonts w:eastAsia="Times New Roman" w:cs="Arial"/>
                <w:szCs w:val="22"/>
                <w:lang w:eastAsia="en-US"/>
              </w:rPr>
            </w:pPr>
            <w:r w:rsidRPr="00C3317D">
              <w:rPr>
                <w:rFonts w:eastAsia="Times New Roman" w:cs="Arial"/>
                <w:szCs w:val="22"/>
                <w:u w:val="single"/>
                <w:lang w:eastAsia="en-US"/>
              </w:rPr>
              <w:t>Incidences financières</w:t>
            </w:r>
            <w:r w:rsidR="00421E71">
              <w:rPr>
                <w:rFonts w:eastAsia="Times New Roman" w:cs="Arial"/>
                <w:szCs w:val="22"/>
                <w:lang w:eastAsia="en-US"/>
              </w:rPr>
              <w:t> </w:t>
            </w:r>
            <w:r w:rsidRPr="00C3317D">
              <w:rPr>
                <w:rFonts w:eastAsia="Times New Roman" w:cs="Arial"/>
                <w:szCs w:val="22"/>
                <w:lang w:eastAsia="en-US"/>
              </w:rPr>
              <w:t xml:space="preserve">: </w:t>
            </w:r>
            <w:r w:rsidR="0077582B">
              <w:rPr>
                <w:rFonts w:eastAsia="Times New Roman" w:cs="Arial"/>
                <w:szCs w:val="22"/>
                <w:lang w:eastAsia="en-US"/>
              </w:rPr>
              <w:t>V</w:t>
            </w:r>
            <w:r w:rsidRPr="00C3317D">
              <w:rPr>
                <w:rFonts w:eastAsia="Times New Roman" w:cs="Arial"/>
                <w:szCs w:val="22"/>
                <w:lang w:eastAsia="en-US"/>
              </w:rPr>
              <w:t>oir les paragraphes</w:t>
            </w:r>
            <w:r w:rsidR="00421E71">
              <w:rPr>
                <w:rFonts w:eastAsia="Times New Roman" w:cs="Arial"/>
                <w:szCs w:val="22"/>
                <w:lang w:eastAsia="en-US"/>
              </w:rPr>
              <w:t> </w:t>
            </w:r>
            <w:r w:rsidRPr="00C3317D">
              <w:rPr>
                <w:rFonts w:eastAsia="Times New Roman" w:cs="Arial"/>
                <w:szCs w:val="22"/>
                <w:lang w:eastAsia="en-US"/>
              </w:rPr>
              <w:t>17 à 22.</w:t>
            </w:r>
          </w:p>
          <w:p w14:paraId="60C2571C" w14:textId="50418951" w:rsidR="005C7D01" w:rsidRPr="00191E6D" w:rsidRDefault="00C3317D" w:rsidP="00C3317D">
            <w:pPr>
              <w:spacing w:after="240"/>
              <w:ind w:left="283" w:right="283"/>
              <w:jc w:val="both"/>
              <w:rPr>
                <w:rFonts w:eastAsia="Times New Roman" w:cs="Arial"/>
                <w:szCs w:val="22"/>
                <w:lang w:eastAsia="en-US"/>
              </w:rPr>
            </w:pPr>
            <w:r w:rsidRPr="00C3317D">
              <w:rPr>
                <w:rFonts w:eastAsia="Times New Roman" w:cs="Arial"/>
                <w:szCs w:val="22"/>
                <w:u w:val="single"/>
                <w:lang w:eastAsia="en-US"/>
              </w:rPr>
              <w:t>Résolution proposée</w:t>
            </w:r>
            <w:r w:rsidR="00421E71">
              <w:rPr>
                <w:rFonts w:eastAsia="Times New Roman" w:cs="Arial"/>
                <w:szCs w:val="22"/>
                <w:lang w:eastAsia="en-US"/>
              </w:rPr>
              <w:t> </w:t>
            </w:r>
            <w:r w:rsidRPr="00C3317D">
              <w:rPr>
                <w:rFonts w:eastAsia="Times New Roman" w:cs="Arial"/>
                <w:szCs w:val="22"/>
                <w:lang w:eastAsia="en-US"/>
              </w:rPr>
              <w:t>: L</w:t>
            </w:r>
            <w:r>
              <w:rPr>
                <w:rFonts w:eastAsia="Times New Roman" w:cs="Arial"/>
                <w:szCs w:val="22"/>
                <w:lang w:eastAsia="en-US"/>
              </w:rPr>
              <w:t>’</w:t>
            </w:r>
            <w:r w:rsidRPr="00C3317D">
              <w:rPr>
                <w:rFonts w:eastAsia="Times New Roman" w:cs="Arial"/>
                <w:szCs w:val="22"/>
                <w:lang w:eastAsia="en-US"/>
              </w:rPr>
              <w:t>Assemblée de la COI est invitée à examiner le projet de résolution portant la référence</w:t>
            </w:r>
            <w:r w:rsidR="00421E71">
              <w:rPr>
                <w:rFonts w:eastAsia="Times New Roman" w:cs="Arial"/>
                <w:szCs w:val="22"/>
                <w:lang w:eastAsia="en-US"/>
              </w:rPr>
              <w:t> </w:t>
            </w:r>
            <w:r w:rsidRPr="00C3317D">
              <w:rPr>
                <w:rFonts w:eastAsia="Times New Roman" w:cs="Arial"/>
                <w:szCs w:val="22"/>
                <w:lang w:eastAsia="en-US"/>
              </w:rPr>
              <w:t>A-32</w:t>
            </w:r>
            <w:proofErr w:type="gramStart"/>
            <w:r w:rsidRPr="00C3317D">
              <w:rPr>
                <w:rFonts w:eastAsia="Times New Roman" w:cs="Arial"/>
                <w:szCs w:val="22"/>
                <w:lang w:eastAsia="en-US"/>
              </w:rPr>
              <w:t>/[</w:t>
            </w:r>
            <w:proofErr w:type="gramEnd"/>
            <w:r w:rsidRPr="00C3317D">
              <w:rPr>
                <w:rFonts w:eastAsia="Times New Roman" w:cs="Arial"/>
                <w:szCs w:val="22"/>
                <w:lang w:eastAsia="en-US"/>
              </w:rPr>
              <w:t>4.12] dans le Document provisoire relatif aux décisions à adopter (document</w:t>
            </w:r>
            <w:r w:rsidR="00421E71">
              <w:rPr>
                <w:rFonts w:eastAsia="Times New Roman" w:cs="Arial"/>
                <w:szCs w:val="22"/>
                <w:lang w:eastAsia="en-US"/>
              </w:rPr>
              <w:t> </w:t>
            </w:r>
            <w:r w:rsidRPr="00C3317D">
              <w:rPr>
                <w:rFonts w:eastAsia="Times New Roman" w:cs="Arial"/>
                <w:szCs w:val="22"/>
                <w:lang w:eastAsia="en-US"/>
              </w:rPr>
              <w:t>IOC-32/AP Prov.).</w:t>
            </w:r>
          </w:p>
        </w:tc>
      </w:tr>
    </w:tbl>
    <w:p w14:paraId="28A7702B" w14:textId="77777777" w:rsidR="005C7D01" w:rsidRDefault="005C7D01" w:rsidP="00B2519D">
      <w:pPr>
        <w:spacing w:after="240"/>
        <w:rPr>
          <w:rFonts w:eastAsia="Times New Roman" w:cs="Arial"/>
          <w:b/>
          <w:bCs/>
          <w:szCs w:val="22"/>
          <w:lang w:eastAsia="en-US"/>
        </w:rPr>
        <w:sectPr w:rsidR="005C7D01" w:rsidSect="000723F0">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4F027757" w14:textId="03363F0F" w:rsidR="00C3317D" w:rsidRPr="00C3317D" w:rsidRDefault="00C3317D" w:rsidP="00C3317D">
      <w:pPr>
        <w:pStyle w:val="Marge"/>
        <w:rPr>
          <w:szCs w:val="22"/>
        </w:rPr>
      </w:pPr>
      <w:r w:rsidRPr="00C3317D">
        <w:rPr>
          <w:szCs w:val="22"/>
        </w:rPr>
        <w:lastRenderedPageBreak/>
        <w:t>1.</w:t>
      </w:r>
      <w:r w:rsidRPr="00C3317D">
        <w:rPr>
          <w:szCs w:val="22"/>
        </w:rPr>
        <w:tab/>
        <w:t>En décembre 2017, faisant fond sur les efforts des États membres et du Secrétariat de la COI, l</w:t>
      </w:r>
      <w:r>
        <w:rPr>
          <w:szCs w:val="22"/>
        </w:rPr>
        <w:t>’</w:t>
      </w:r>
      <w:r w:rsidRPr="00C3317D">
        <w:rPr>
          <w:szCs w:val="22"/>
        </w:rPr>
        <w:t>Assemblée générale des Nations Unies a proclamé la Décennie des Nations Unies pour les sciences océaniques au service du développement durable (2021-2030) (ci-après «</w:t>
      </w:r>
      <w:r w:rsidR="00421E71">
        <w:rPr>
          <w:szCs w:val="22"/>
        </w:rPr>
        <w:t> </w:t>
      </w:r>
      <w:r w:rsidRPr="00C3317D">
        <w:rPr>
          <w:szCs w:val="22"/>
        </w:rPr>
        <w:t>la Décennie de l</w:t>
      </w:r>
      <w:r>
        <w:rPr>
          <w:szCs w:val="22"/>
        </w:rPr>
        <w:t>’</w:t>
      </w:r>
      <w:r w:rsidRPr="00C3317D">
        <w:rPr>
          <w:szCs w:val="22"/>
        </w:rPr>
        <w:t>Océan</w:t>
      </w:r>
      <w:r w:rsidR="00421E71">
        <w:rPr>
          <w:szCs w:val="22"/>
        </w:rPr>
        <w:t> </w:t>
      </w:r>
      <w:r w:rsidRPr="00C3317D">
        <w:rPr>
          <w:szCs w:val="22"/>
        </w:rPr>
        <w:t>»). La Décennie de l</w:t>
      </w:r>
      <w:r>
        <w:rPr>
          <w:szCs w:val="22"/>
        </w:rPr>
        <w:t>’</w:t>
      </w:r>
      <w:r w:rsidRPr="00C3317D">
        <w:rPr>
          <w:szCs w:val="22"/>
        </w:rPr>
        <w:t>Océan représente une occasion unique d</w:t>
      </w:r>
      <w:r>
        <w:rPr>
          <w:szCs w:val="22"/>
        </w:rPr>
        <w:t>’</w:t>
      </w:r>
      <w:r w:rsidRPr="00C3317D">
        <w:rPr>
          <w:szCs w:val="22"/>
        </w:rPr>
        <w:t>opérer un changement radical dans la production et l</w:t>
      </w:r>
      <w:r>
        <w:rPr>
          <w:szCs w:val="22"/>
        </w:rPr>
        <w:t>’</w:t>
      </w:r>
      <w:r w:rsidRPr="00C3317D">
        <w:rPr>
          <w:szCs w:val="22"/>
        </w:rPr>
        <w:t>utilisation des sciences océaniques. Elle influencera la façon dont les pays investissent dans la science et l</w:t>
      </w:r>
      <w:r>
        <w:rPr>
          <w:szCs w:val="22"/>
        </w:rPr>
        <w:t>’</w:t>
      </w:r>
      <w:r w:rsidRPr="00C3317D">
        <w:rPr>
          <w:szCs w:val="22"/>
        </w:rPr>
        <w:t>innovation et y participent, pour les amener à se fixer des objectifs sociétaux et à adapter leurs investissements dans la recherche en vue de contribuer à la réalisation d</w:t>
      </w:r>
      <w:r>
        <w:rPr>
          <w:szCs w:val="22"/>
        </w:rPr>
        <w:t>’</w:t>
      </w:r>
      <w:r w:rsidRPr="00C3317D">
        <w:rPr>
          <w:szCs w:val="22"/>
        </w:rPr>
        <w:t>objectifs communs, notamment ceux du Programme</w:t>
      </w:r>
      <w:r w:rsidR="00421E71">
        <w:rPr>
          <w:szCs w:val="22"/>
        </w:rPr>
        <w:t> </w:t>
      </w:r>
      <w:r w:rsidRPr="00C3317D">
        <w:rPr>
          <w:szCs w:val="22"/>
        </w:rPr>
        <w:t xml:space="preserve">2030. </w:t>
      </w:r>
    </w:p>
    <w:p w14:paraId="2CA9232B" w14:textId="1623DECA" w:rsidR="00C3317D" w:rsidRPr="00C3317D" w:rsidRDefault="00C3317D" w:rsidP="00C3317D">
      <w:pPr>
        <w:pStyle w:val="Marge"/>
        <w:rPr>
          <w:szCs w:val="22"/>
        </w:rPr>
      </w:pPr>
      <w:r w:rsidRPr="00C3317D">
        <w:rPr>
          <w:szCs w:val="22"/>
        </w:rPr>
        <w:t>2.</w:t>
      </w:r>
      <w:r w:rsidRPr="00C3317D">
        <w:rPr>
          <w:szCs w:val="22"/>
        </w:rPr>
        <w:tab/>
        <w:t>Conformément à la résolution A/RES/72/73 de l</w:t>
      </w:r>
      <w:r>
        <w:rPr>
          <w:szCs w:val="22"/>
        </w:rPr>
        <w:t>’</w:t>
      </w:r>
      <w:r w:rsidRPr="00C3317D">
        <w:rPr>
          <w:szCs w:val="22"/>
        </w:rPr>
        <w:t>Assemblée générale des Nations Unies et à la résolution</w:t>
      </w:r>
      <w:r w:rsidR="00421E71">
        <w:rPr>
          <w:szCs w:val="22"/>
        </w:rPr>
        <w:t> </w:t>
      </w:r>
      <w:r w:rsidRPr="00C3317D">
        <w:rPr>
          <w:szCs w:val="22"/>
        </w:rPr>
        <w:t xml:space="preserve">EC-LI.1 de la COI, après la phase préparatoire de la Décennie </w:t>
      </w:r>
      <w:r w:rsidR="006B0247">
        <w:rPr>
          <w:szCs w:val="22"/>
        </w:rPr>
        <w:t>de l’Océan</w:t>
      </w:r>
      <w:r w:rsidRPr="00C3317D">
        <w:rPr>
          <w:szCs w:val="22"/>
        </w:rPr>
        <w:t xml:space="preserve">, dont rendent compte les documents </w:t>
      </w:r>
      <w:hyperlink r:id="rId11" w:history="1">
        <w:r w:rsidRPr="00C3317D">
          <w:rPr>
            <w:rStyle w:val="Lienhypertexte"/>
            <w:szCs w:val="22"/>
          </w:rPr>
          <w:t>IOC-XXX/2</w:t>
        </w:r>
        <w:r w:rsidR="00421E71">
          <w:rPr>
            <w:rStyle w:val="Lienhypertexte"/>
            <w:szCs w:val="22"/>
          </w:rPr>
          <w:t> </w:t>
        </w:r>
        <w:r w:rsidRPr="00C3317D">
          <w:rPr>
            <w:rStyle w:val="Lienhypertexte"/>
            <w:szCs w:val="22"/>
          </w:rPr>
          <w:t>Annexe</w:t>
        </w:r>
        <w:r w:rsidR="00421E71">
          <w:rPr>
            <w:rStyle w:val="Lienhypertexte"/>
            <w:szCs w:val="22"/>
          </w:rPr>
          <w:t> </w:t>
        </w:r>
        <w:r w:rsidRPr="00C3317D">
          <w:rPr>
            <w:rStyle w:val="Lienhypertexte"/>
            <w:szCs w:val="22"/>
          </w:rPr>
          <w:t>3</w:t>
        </w:r>
      </w:hyperlink>
      <w:r w:rsidRPr="00C3317D">
        <w:rPr>
          <w:szCs w:val="22"/>
        </w:rPr>
        <w:t xml:space="preserve"> (2019), </w:t>
      </w:r>
      <w:hyperlink r:id="rId12" w:history="1">
        <w:r w:rsidRPr="00C3317D">
          <w:rPr>
            <w:rStyle w:val="Lienhypertexte"/>
            <w:szCs w:val="22"/>
          </w:rPr>
          <w:t>IOC/EC-53/4.1.Doc(1)</w:t>
        </w:r>
        <w:proofErr w:type="spellStart"/>
        <w:r w:rsidRPr="00C3317D">
          <w:rPr>
            <w:rStyle w:val="Lienhypertexte"/>
            <w:szCs w:val="22"/>
          </w:rPr>
          <w:t>Rev</w:t>
        </w:r>
        <w:proofErr w:type="spellEnd"/>
        <w:r w:rsidRPr="00C3317D">
          <w:rPr>
            <w:rStyle w:val="Lienhypertexte"/>
            <w:szCs w:val="22"/>
          </w:rPr>
          <w:t>.</w:t>
        </w:r>
      </w:hyperlink>
      <w:r w:rsidRPr="00C3317D">
        <w:rPr>
          <w:szCs w:val="22"/>
        </w:rPr>
        <w:t xml:space="preserve"> (2020), </w:t>
      </w:r>
      <w:hyperlink r:id="rId13" w:history="1">
        <w:r w:rsidRPr="00C3317D">
          <w:rPr>
            <w:rStyle w:val="Lienhypertexte"/>
            <w:szCs w:val="22"/>
          </w:rPr>
          <w:t>IOC/A</w:t>
        </w:r>
        <w:r w:rsidR="0092634C">
          <w:rPr>
            <w:rStyle w:val="Lienhypertexte"/>
            <w:szCs w:val="22"/>
          </w:rPr>
          <w:noBreakHyphen/>
        </w:r>
        <w:r w:rsidRPr="00C3317D">
          <w:rPr>
            <w:rStyle w:val="Lienhypertexte"/>
            <w:szCs w:val="22"/>
          </w:rPr>
          <w:t>31/3.7.Doc(2)</w:t>
        </w:r>
      </w:hyperlink>
      <w:r w:rsidRPr="00C3317D">
        <w:rPr>
          <w:szCs w:val="22"/>
        </w:rPr>
        <w:t xml:space="preserve"> (2021) et IOC/EC-55/4.1.Doc (2022), la période s</w:t>
      </w:r>
      <w:r>
        <w:rPr>
          <w:szCs w:val="22"/>
        </w:rPr>
        <w:t>’</w:t>
      </w:r>
      <w:r w:rsidRPr="00C3317D">
        <w:rPr>
          <w:szCs w:val="22"/>
        </w:rPr>
        <w:t>étendant de juin 2021 à mai</w:t>
      </w:r>
      <w:r w:rsidR="0092634C">
        <w:rPr>
          <w:szCs w:val="22"/>
        </w:rPr>
        <w:t> </w:t>
      </w:r>
      <w:r w:rsidRPr="00C3317D">
        <w:rPr>
          <w:szCs w:val="22"/>
        </w:rPr>
        <w:t xml:space="preserve">2023 a continué </w:t>
      </w:r>
      <w:r w:rsidR="00B60FF6">
        <w:rPr>
          <w:szCs w:val="22"/>
        </w:rPr>
        <w:t>de</w:t>
      </w:r>
      <w:r w:rsidRPr="00C3317D">
        <w:rPr>
          <w:szCs w:val="22"/>
        </w:rPr>
        <w:t xml:space="preserve"> connaître une intense activité liée à la mise en œuvre de la Décennie de l</w:t>
      </w:r>
      <w:r>
        <w:rPr>
          <w:szCs w:val="22"/>
        </w:rPr>
        <w:t>’</w:t>
      </w:r>
      <w:r w:rsidRPr="00C3317D">
        <w:rPr>
          <w:szCs w:val="22"/>
        </w:rPr>
        <w:t>Océan.</w:t>
      </w:r>
    </w:p>
    <w:p w14:paraId="6FB6E4F0" w14:textId="428A4E95" w:rsidR="00C3317D" w:rsidRPr="00C3317D" w:rsidRDefault="00C3317D" w:rsidP="00C3317D">
      <w:pPr>
        <w:pStyle w:val="Marge"/>
        <w:rPr>
          <w:szCs w:val="22"/>
        </w:rPr>
      </w:pPr>
      <w:r w:rsidRPr="00C3317D">
        <w:rPr>
          <w:szCs w:val="22"/>
        </w:rPr>
        <w:t>3.</w:t>
      </w:r>
      <w:r w:rsidRPr="00C3317D">
        <w:rPr>
          <w:szCs w:val="22"/>
        </w:rPr>
        <w:tab/>
        <w:t>Cette période a couvert les deux premières années, déterminantes, de la mise en œuvre de la Décennie de l</w:t>
      </w:r>
      <w:r>
        <w:rPr>
          <w:szCs w:val="22"/>
        </w:rPr>
        <w:t>’</w:t>
      </w:r>
      <w:r w:rsidRPr="00C3317D">
        <w:rPr>
          <w:szCs w:val="22"/>
        </w:rPr>
        <w:t>Océan</w:t>
      </w:r>
      <w:r w:rsidR="00B60FF6">
        <w:rPr>
          <w:szCs w:val="22"/>
        </w:rPr>
        <w:t>,</w:t>
      </w:r>
      <w:r w:rsidRPr="00C3317D">
        <w:rPr>
          <w:szCs w:val="22"/>
        </w:rPr>
        <w:t xml:space="preserve"> et a été marquée par une </w:t>
      </w:r>
      <w:r w:rsidR="006B0247" w:rsidRPr="00C3317D">
        <w:rPr>
          <w:szCs w:val="22"/>
        </w:rPr>
        <w:t xml:space="preserve">activité </w:t>
      </w:r>
      <w:r w:rsidRPr="00C3317D">
        <w:rPr>
          <w:szCs w:val="22"/>
        </w:rPr>
        <w:t>intense sur de nombreux fronts. D</w:t>
      </w:r>
      <w:r>
        <w:rPr>
          <w:szCs w:val="22"/>
        </w:rPr>
        <w:t>’</w:t>
      </w:r>
      <w:r w:rsidRPr="00C3317D">
        <w:rPr>
          <w:szCs w:val="22"/>
        </w:rPr>
        <w:t xml:space="preserve">importants efforts ont été déployés en vue </w:t>
      </w:r>
      <w:r w:rsidR="006B0247">
        <w:rPr>
          <w:szCs w:val="22"/>
        </w:rPr>
        <w:t xml:space="preserve">de susciter </w:t>
      </w:r>
      <w:r w:rsidR="006B0247" w:rsidRPr="00C3317D">
        <w:rPr>
          <w:szCs w:val="22"/>
        </w:rPr>
        <w:t xml:space="preserve">une mobilisation </w:t>
      </w:r>
      <w:r w:rsidR="006B0247">
        <w:rPr>
          <w:szCs w:val="22"/>
        </w:rPr>
        <w:t xml:space="preserve">autour de la Décennie et </w:t>
      </w:r>
      <w:r w:rsidRPr="00C3317D">
        <w:rPr>
          <w:szCs w:val="22"/>
        </w:rPr>
        <w:t>d</w:t>
      </w:r>
      <w:r>
        <w:rPr>
          <w:szCs w:val="22"/>
        </w:rPr>
        <w:t>’</w:t>
      </w:r>
      <w:r w:rsidR="00B60FF6">
        <w:rPr>
          <w:szCs w:val="22"/>
        </w:rPr>
        <w:t xml:space="preserve">en </w:t>
      </w:r>
      <w:r w:rsidRPr="00C3317D">
        <w:rPr>
          <w:szCs w:val="22"/>
        </w:rPr>
        <w:t xml:space="preserve">assurer </w:t>
      </w:r>
      <w:r w:rsidR="00B60FF6">
        <w:rPr>
          <w:szCs w:val="22"/>
        </w:rPr>
        <w:t>l</w:t>
      </w:r>
      <w:r w:rsidR="006B0247">
        <w:rPr>
          <w:szCs w:val="22"/>
        </w:rPr>
        <w:t>a</w:t>
      </w:r>
      <w:r w:rsidR="006B0247" w:rsidRPr="00C3317D">
        <w:rPr>
          <w:szCs w:val="22"/>
        </w:rPr>
        <w:t xml:space="preserve"> visibilité</w:t>
      </w:r>
      <w:r w:rsidRPr="00C3317D">
        <w:rPr>
          <w:szCs w:val="22"/>
        </w:rPr>
        <w:t>, de constituer un portefeuille d</w:t>
      </w:r>
      <w:r>
        <w:rPr>
          <w:szCs w:val="22"/>
        </w:rPr>
        <w:t>’</w:t>
      </w:r>
      <w:r w:rsidRPr="00C3317D">
        <w:rPr>
          <w:szCs w:val="22"/>
        </w:rPr>
        <w:t>actions de la Décennie solide et bénéficiant d</w:t>
      </w:r>
      <w:r>
        <w:rPr>
          <w:szCs w:val="22"/>
        </w:rPr>
        <w:t>’</w:t>
      </w:r>
      <w:r w:rsidRPr="00C3317D">
        <w:rPr>
          <w:szCs w:val="22"/>
        </w:rPr>
        <w:t xml:space="preserve">un soutien adéquat, et de mettre en place une architecture </w:t>
      </w:r>
      <w:r w:rsidR="00B60FF6" w:rsidRPr="00C3317D">
        <w:rPr>
          <w:szCs w:val="22"/>
        </w:rPr>
        <w:t xml:space="preserve">centrale et décentralisée </w:t>
      </w:r>
      <w:r w:rsidR="006B0247" w:rsidRPr="00C3317D">
        <w:rPr>
          <w:szCs w:val="22"/>
        </w:rPr>
        <w:t>de gouvernance et de coordination de la Décennie</w:t>
      </w:r>
      <w:r w:rsidRPr="00C3317D">
        <w:rPr>
          <w:szCs w:val="22"/>
        </w:rPr>
        <w:t>.</w:t>
      </w:r>
    </w:p>
    <w:p w14:paraId="5679AD7E" w14:textId="77777777" w:rsidR="00C3317D" w:rsidRPr="00C3317D" w:rsidRDefault="00C3317D" w:rsidP="00C3317D">
      <w:pPr>
        <w:pStyle w:val="Marge"/>
        <w:rPr>
          <w:b/>
          <w:bCs/>
          <w:szCs w:val="22"/>
        </w:rPr>
      </w:pPr>
      <w:r w:rsidRPr="00C3317D">
        <w:rPr>
          <w:b/>
          <w:bCs/>
          <w:szCs w:val="22"/>
        </w:rPr>
        <w:t xml:space="preserve">Actions de la Décennie </w:t>
      </w:r>
    </w:p>
    <w:p w14:paraId="1501A09B" w14:textId="7AFAA04A" w:rsidR="00C3317D" w:rsidRPr="00C3317D" w:rsidRDefault="00C3317D" w:rsidP="00C3317D">
      <w:pPr>
        <w:pStyle w:val="Marge"/>
        <w:rPr>
          <w:szCs w:val="22"/>
        </w:rPr>
      </w:pPr>
      <w:r w:rsidRPr="0035177B">
        <w:rPr>
          <w:szCs w:val="22"/>
        </w:rPr>
        <w:t>4.</w:t>
      </w:r>
      <w:r w:rsidRPr="0035177B">
        <w:rPr>
          <w:szCs w:val="22"/>
        </w:rPr>
        <w:tab/>
        <w:t>Sur</w:t>
      </w:r>
      <w:r w:rsidRPr="00C3317D">
        <w:rPr>
          <w:szCs w:val="22"/>
        </w:rPr>
        <w:t xml:space="preserve"> la base du </w:t>
      </w:r>
      <w:hyperlink r:id="rId14" w:history="1">
        <w:r w:rsidRPr="00C3317D">
          <w:rPr>
            <w:rStyle w:val="Lienhypertexte"/>
            <w:szCs w:val="22"/>
          </w:rPr>
          <w:t>premier Appel à l</w:t>
        </w:r>
        <w:r>
          <w:rPr>
            <w:rStyle w:val="Lienhypertexte"/>
            <w:szCs w:val="22"/>
          </w:rPr>
          <w:t>’</w:t>
        </w:r>
        <w:r w:rsidRPr="00C3317D">
          <w:rPr>
            <w:rStyle w:val="Lienhypertexte"/>
            <w:szCs w:val="22"/>
          </w:rPr>
          <w:t>action de la Décennie (n°</w:t>
        </w:r>
        <w:r w:rsidR="00421E71">
          <w:rPr>
            <w:rStyle w:val="Lienhypertexte"/>
            <w:szCs w:val="22"/>
          </w:rPr>
          <w:t> </w:t>
        </w:r>
        <w:r w:rsidRPr="00C3317D">
          <w:rPr>
            <w:rStyle w:val="Lienhypertexte"/>
            <w:szCs w:val="22"/>
          </w:rPr>
          <w:t>01/2020)</w:t>
        </w:r>
      </w:hyperlink>
      <w:r w:rsidRPr="00C3317D">
        <w:rPr>
          <w:szCs w:val="22"/>
        </w:rPr>
        <w:t>, qui sollicitait près de 250</w:t>
      </w:r>
      <w:r w:rsidR="00421E71">
        <w:rPr>
          <w:szCs w:val="22"/>
        </w:rPr>
        <w:t> </w:t>
      </w:r>
      <w:r w:rsidRPr="00C3317D">
        <w:rPr>
          <w:szCs w:val="22"/>
        </w:rPr>
        <w:t>contributions potentielles, quatre nouveaux appels à l</w:t>
      </w:r>
      <w:r>
        <w:rPr>
          <w:szCs w:val="22"/>
        </w:rPr>
        <w:t>’</w:t>
      </w:r>
      <w:r w:rsidRPr="00C3317D">
        <w:rPr>
          <w:szCs w:val="22"/>
        </w:rPr>
        <w:t>action de la Décennie ont été lancés au cours de la période considérée. L</w:t>
      </w:r>
      <w:r>
        <w:rPr>
          <w:szCs w:val="22"/>
        </w:rPr>
        <w:t>’</w:t>
      </w:r>
      <w:r w:rsidRPr="00C3317D">
        <w:rPr>
          <w:szCs w:val="22"/>
        </w:rPr>
        <w:t>Appel à l</w:t>
      </w:r>
      <w:r>
        <w:rPr>
          <w:szCs w:val="22"/>
        </w:rPr>
        <w:t>’</w:t>
      </w:r>
      <w:r w:rsidRPr="00C3317D">
        <w:rPr>
          <w:szCs w:val="22"/>
        </w:rPr>
        <w:t>action de la Décennie n°</w:t>
      </w:r>
      <w:r w:rsidR="00421E71">
        <w:rPr>
          <w:szCs w:val="22"/>
        </w:rPr>
        <w:t> </w:t>
      </w:r>
      <w:r w:rsidRPr="00C3317D">
        <w:rPr>
          <w:szCs w:val="22"/>
        </w:rPr>
        <w:t>02/2021</w:t>
      </w:r>
      <w:r w:rsidR="00B60FF6">
        <w:rPr>
          <w:szCs w:val="22"/>
        </w:rPr>
        <w:t>,</w:t>
      </w:r>
      <w:r w:rsidRPr="00C3317D">
        <w:rPr>
          <w:szCs w:val="22"/>
        </w:rPr>
        <w:t xml:space="preserve"> </w:t>
      </w:r>
      <w:r w:rsidR="006B0247">
        <w:rPr>
          <w:szCs w:val="22"/>
        </w:rPr>
        <w:t>ouvert</w:t>
      </w:r>
      <w:r w:rsidRPr="00C3317D">
        <w:rPr>
          <w:szCs w:val="22"/>
        </w:rPr>
        <w:t xml:space="preserve"> en octobre</w:t>
      </w:r>
      <w:r w:rsidR="0035177B">
        <w:rPr>
          <w:szCs w:val="22"/>
        </w:rPr>
        <w:t> </w:t>
      </w:r>
      <w:r w:rsidRPr="00C3317D">
        <w:rPr>
          <w:szCs w:val="22"/>
        </w:rPr>
        <w:t>2021 et clôturé le 31</w:t>
      </w:r>
      <w:r w:rsidR="00421E71">
        <w:rPr>
          <w:szCs w:val="22"/>
        </w:rPr>
        <w:t> </w:t>
      </w:r>
      <w:r w:rsidRPr="00C3317D">
        <w:rPr>
          <w:szCs w:val="22"/>
        </w:rPr>
        <w:t>janvier 2022</w:t>
      </w:r>
      <w:r w:rsidR="00B60FF6">
        <w:rPr>
          <w:szCs w:val="22"/>
        </w:rPr>
        <w:t>,</w:t>
      </w:r>
      <w:r w:rsidRPr="00C3317D">
        <w:rPr>
          <w:szCs w:val="22"/>
        </w:rPr>
        <w:t xml:space="preserve"> sollicitait des programmes contribuant aux défis de la Décennie relatifs à la pollution marine, à la gestion et la restauration des écosystèmes et au lien océan-climat. Le troisième Appel à l</w:t>
      </w:r>
      <w:r>
        <w:rPr>
          <w:szCs w:val="22"/>
        </w:rPr>
        <w:t>’</w:t>
      </w:r>
      <w:r w:rsidRPr="00C3317D">
        <w:rPr>
          <w:szCs w:val="22"/>
        </w:rPr>
        <w:t>action de la Décennie (n°</w:t>
      </w:r>
      <w:r w:rsidR="00421E71">
        <w:rPr>
          <w:szCs w:val="22"/>
        </w:rPr>
        <w:t> </w:t>
      </w:r>
      <w:r w:rsidRPr="00C3317D">
        <w:rPr>
          <w:szCs w:val="22"/>
        </w:rPr>
        <w:t>03/2022)</w:t>
      </w:r>
      <w:r w:rsidR="00B60FF6">
        <w:rPr>
          <w:szCs w:val="22"/>
        </w:rPr>
        <w:t>,</w:t>
      </w:r>
      <w:r w:rsidRPr="00C3317D">
        <w:rPr>
          <w:szCs w:val="22"/>
        </w:rPr>
        <w:t xml:space="preserve"> lancé le 15</w:t>
      </w:r>
      <w:r w:rsidR="00421E71">
        <w:rPr>
          <w:szCs w:val="22"/>
        </w:rPr>
        <w:t> </w:t>
      </w:r>
      <w:r w:rsidRPr="00C3317D">
        <w:rPr>
          <w:szCs w:val="22"/>
        </w:rPr>
        <w:t xml:space="preserve">avril 2022 et </w:t>
      </w:r>
      <w:r w:rsidR="006B0247">
        <w:rPr>
          <w:szCs w:val="22"/>
        </w:rPr>
        <w:t>clos</w:t>
      </w:r>
      <w:r w:rsidRPr="00C3317D">
        <w:rPr>
          <w:szCs w:val="22"/>
        </w:rPr>
        <w:t xml:space="preserve"> le 30</w:t>
      </w:r>
      <w:r w:rsidR="00421E71">
        <w:rPr>
          <w:szCs w:val="22"/>
        </w:rPr>
        <w:t> </w:t>
      </w:r>
      <w:r w:rsidRPr="00C3317D">
        <w:rPr>
          <w:szCs w:val="22"/>
        </w:rPr>
        <w:t>août 2022</w:t>
      </w:r>
      <w:r w:rsidR="00B60FF6">
        <w:rPr>
          <w:szCs w:val="22"/>
        </w:rPr>
        <w:t>,</w:t>
      </w:r>
      <w:r w:rsidRPr="00C3317D">
        <w:rPr>
          <w:szCs w:val="22"/>
        </w:rPr>
        <w:t xml:space="preserve"> sollicitait des programmes contribuant aux défis de la Décennie de l</w:t>
      </w:r>
      <w:r>
        <w:rPr>
          <w:szCs w:val="22"/>
        </w:rPr>
        <w:t>’</w:t>
      </w:r>
      <w:r w:rsidRPr="00C3317D">
        <w:rPr>
          <w:szCs w:val="22"/>
        </w:rPr>
        <w:t>Océan relatifs à l</w:t>
      </w:r>
      <w:r>
        <w:rPr>
          <w:szCs w:val="22"/>
        </w:rPr>
        <w:t>’</w:t>
      </w:r>
      <w:r w:rsidRPr="00C3317D">
        <w:rPr>
          <w:szCs w:val="22"/>
        </w:rPr>
        <w:t>alimentation durable issue des océans et à l</w:t>
      </w:r>
      <w:r>
        <w:rPr>
          <w:szCs w:val="22"/>
        </w:rPr>
        <w:t>’</w:t>
      </w:r>
      <w:r w:rsidRPr="00C3317D">
        <w:rPr>
          <w:szCs w:val="22"/>
        </w:rPr>
        <w:t>économie durable des océans, ainsi que des projets s</w:t>
      </w:r>
      <w:r>
        <w:rPr>
          <w:szCs w:val="22"/>
        </w:rPr>
        <w:t>’</w:t>
      </w:r>
      <w:r w:rsidRPr="00C3317D">
        <w:rPr>
          <w:szCs w:val="22"/>
        </w:rPr>
        <w:t>inscrivant dans le cadre de 16</w:t>
      </w:r>
      <w:r w:rsidR="00421E71">
        <w:rPr>
          <w:szCs w:val="22"/>
        </w:rPr>
        <w:t> </w:t>
      </w:r>
      <w:r w:rsidRPr="00C3317D">
        <w:rPr>
          <w:szCs w:val="22"/>
        </w:rPr>
        <w:t>programmes approuvés de la Décennie. Il sollicitait également des contributions en nature ou financières à l</w:t>
      </w:r>
      <w:r>
        <w:rPr>
          <w:szCs w:val="22"/>
        </w:rPr>
        <w:t>’</w:t>
      </w:r>
      <w:r w:rsidRPr="00C3317D">
        <w:rPr>
          <w:szCs w:val="22"/>
        </w:rPr>
        <w:t>appui des actions de la Décennie menées en Afrique et dans les petits États insulaires en développement (PEID) du Pacifique. L</w:t>
      </w:r>
      <w:r>
        <w:rPr>
          <w:szCs w:val="22"/>
        </w:rPr>
        <w:t>’</w:t>
      </w:r>
      <w:r w:rsidRPr="00C3317D">
        <w:rPr>
          <w:szCs w:val="22"/>
        </w:rPr>
        <w:t>Appel à l</w:t>
      </w:r>
      <w:r>
        <w:rPr>
          <w:szCs w:val="22"/>
        </w:rPr>
        <w:t>’</w:t>
      </w:r>
      <w:r w:rsidRPr="00C3317D">
        <w:rPr>
          <w:szCs w:val="22"/>
        </w:rPr>
        <w:t>action de la Décennie n°</w:t>
      </w:r>
      <w:r w:rsidR="00421E71">
        <w:rPr>
          <w:szCs w:val="22"/>
        </w:rPr>
        <w:t> </w:t>
      </w:r>
      <w:r w:rsidRPr="00C3317D">
        <w:rPr>
          <w:szCs w:val="22"/>
        </w:rPr>
        <w:t>04/2022</w:t>
      </w:r>
      <w:r w:rsidR="00B60FF6">
        <w:rPr>
          <w:szCs w:val="22"/>
        </w:rPr>
        <w:t>,</w:t>
      </w:r>
      <w:r w:rsidRPr="00C3317D">
        <w:rPr>
          <w:szCs w:val="22"/>
        </w:rPr>
        <w:t xml:space="preserve"> lancé le 15</w:t>
      </w:r>
      <w:r w:rsidR="00421E71">
        <w:rPr>
          <w:szCs w:val="22"/>
        </w:rPr>
        <w:t> </w:t>
      </w:r>
      <w:r w:rsidRPr="00C3317D">
        <w:rPr>
          <w:szCs w:val="22"/>
        </w:rPr>
        <w:t>octobre 2022 et clos le 31</w:t>
      </w:r>
      <w:r w:rsidR="00421E71">
        <w:rPr>
          <w:szCs w:val="22"/>
        </w:rPr>
        <w:t> </w:t>
      </w:r>
      <w:r w:rsidRPr="00C3317D">
        <w:rPr>
          <w:szCs w:val="22"/>
        </w:rPr>
        <w:t>janvier</w:t>
      </w:r>
      <w:r w:rsidR="006B0247">
        <w:rPr>
          <w:szCs w:val="22"/>
        </w:rPr>
        <w:t xml:space="preserve"> 2022</w:t>
      </w:r>
      <w:r w:rsidR="00B60FF6">
        <w:rPr>
          <w:szCs w:val="22"/>
        </w:rPr>
        <w:t>,</w:t>
      </w:r>
      <w:r w:rsidRPr="00C3317D">
        <w:rPr>
          <w:szCs w:val="22"/>
        </w:rPr>
        <w:t xml:space="preserve"> sollicitait des programmes relatifs à l</w:t>
      </w:r>
      <w:r>
        <w:rPr>
          <w:szCs w:val="22"/>
        </w:rPr>
        <w:t>’</w:t>
      </w:r>
      <w:r w:rsidRPr="00C3317D">
        <w:rPr>
          <w:szCs w:val="22"/>
        </w:rPr>
        <w:t xml:space="preserve">écosystème numérique pour les océans et à la résilience côtière. </w:t>
      </w:r>
      <w:r w:rsidR="00B60FF6">
        <w:rPr>
          <w:szCs w:val="22"/>
        </w:rPr>
        <w:t>Enfin, l</w:t>
      </w:r>
      <w:r>
        <w:rPr>
          <w:szCs w:val="22"/>
        </w:rPr>
        <w:t>’</w:t>
      </w:r>
      <w:r w:rsidRPr="00C3317D">
        <w:rPr>
          <w:szCs w:val="22"/>
        </w:rPr>
        <w:t>Appel à l</w:t>
      </w:r>
      <w:r>
        <w:rPr>
          <w:szCs w:val="22"/>
        </w:rPr>
        <w:t>’</w:t>
      </w:r>
      <w:r w:rsidRPr="00C3317D">
        <w:rPr>
          <w:szCs w:val="22"/>
        </w:rPr>
        <w:t>action de la Décennie n°</w:t>
      </w:r>
      <w:r w:rsidR="00421E71">
        <w:rPr>
          <w:szCs w:val="22"/>
        </w:rPr>
        <w:t> </w:t>
      </w:r>
      <w:r w:rsidRPr="00C3317D">
        <w:rPr>
          <w:szCs w:val="22"/>
        </w:rPr>
        <w:t>05/2023</w:t>
      </w:r>
      <w:r w:rsidR="00B60FF6">
        <w:rPr>
          <w:szCs w:val="22"/>
        </w:rPr>
        <w:t xml:space="preserve">, qui a été </w:t>
      </w:r>
      <w:r w:rsidRPr="00C3317D">
        <w:rPr>
          <w:szCs w:val="22"/>
        </w:rPr>
        <w:t>ouvert le 15</w:t>
      </w:r>
      <w:r w:rsidR="00421E71">
        <w:rPr>
          <w:szCs w:val="22"/>
        </w:rPr>
        <w:t> </w:t>
      </w:r>
      <w:r w:rsidRPr="00C3317D">
        <w:rPr>
          <w:szCs w:val="22"/>
        </w:rPr>
        <w:t>avril 2023 et sera clôturé le 31</w:t>
      </w:r>
      <w:r w:rsidR="00421E71">
        <w:rPr>
          <w:szCs w:val="22"/>
        </w:rPr>
        <w:t> </w:t>
      </w:r>
      <w:r w:rsidRPr="00C3317D">
        <w:rPr>
          <w:szCs w:val="22"/>
        </w:rPr>
        <w:t>août 2023</w:t>
      </w:r>
      <w:r w:rsidR="00B60FF6">
        <w:rPr>
          <w:szCs w:val="22"/>
        </w:rPr>
        <w:t>,</w:t>
      </w:r>
      <w:r w:rsidRPr="00C3317D">
        <w:rPr>
          <w:szCs w:val="22"/>
        </w:rPr>
        <w:t xml:space="preserve"> sollicite des programmes </w:t>
      </w:r>
      <w:r w:rsidR="00B60FF6">
        <w:rPr>
          <w:szCs w:val="22"/>
        </w:rPr>
        <w:t>liés</w:t>
      </w:r>
      <w:r w:rsidRPr="00C3317D">
        <w:rPr>
          <w:szCs w:val="22"/>
        </w:rPr>
        <w:t xml:space="preserve"> à la pollution marine mettant l</w:t>
      </w:r>
      <w:r>
        <w:rPr>
          <w:szCs w:val="22"/>
        </w:rPr>
        <w:t>’</w:t>
      </w:r>
      <w:r w:rsidRPr="00C3317D">
        <w:rPr>
          <w:szCs w:val="22"/>
        </w:rPr>
        <w:t>accent sur les sous-thèmes de la pollution plastique et de l</w:t>
      </w:r>
      <w:r>
        <w:rPr>
          <w:szCs w:val="22"/>
        </w:rPr>
        <w:t>’</w:t>
      </w:r>
      <w:r w:rsidRPr="00C3317D">
        <w:rPr>
          <w:szCs w:val="22"/>
        </w:rPr>
        <w:t>eutrophisation</w:t>
      </w:r>
      <w:r w:rsidR="00B60FF6">
        <w:rPr>
          <w:szCs w:val="22"/>
        </w:rPr>
        <w:t>,</w:t>
      </w:r>
      <w:r w:rsidRPr="00C3317D">
        <w:rPr>
          <w:szCs w:val="22"/>
        </w:rPr>
        <w:t xml:space="preserve"> </w:t>
      </w:r>
      <w:r w:rsidR="00B60FF6">
        <w:rPr>
          <w:szCs w:val="22"/>
        </w:rPr>
        <w:t>ainsi que</w:t>
      </w:r>
      <w:r w:rsidRPr="00C3317D">
        <w:rPr>
          <w:szCs w:val="22"/>
        </w:rPr>
        <w:t xml:space="preserve"> des programmes relatifs à la gestion et la restauration des écosystèmes axés sur les outils de gestion par zone, la restauration des écosystèmes et les multiples facteurs de stress océanique. Tous les appels à l</w:t>
      </w:r>
      <w:r>
        <w:rPr>
          <w:szCs w:val="22"/>
        </w:rPr>
        <w:t>’</w:t>
      </w:r>
      <w:r w:rsidRPr="00C3317D">
        <w:rPr>
          <w:szCs w:val="22"/>
        </w:rPr>
        <w:t xml:space="preserve">action de la Décennie sollicitaient également des projets à associer aux programmes de la Décennie déjà approuvés. </w:t>
      </w:r>
    </w:p>
    <w:p w14:paraId="7A7B0803" w14:textId="4F125698" w:rsidR="00C3317D" w:rsidRPr="00C3317D" w:rsidRDefault="00C3317D" w:rsidP="00C3317D">
      <w:pPr>
        <w:pStyle w:val="Marge"/>
        <w:rPr>
          <w:szCs w:val="22"/>
        </w:rPr>
      </w:pPr>
      <w:r w:rsidRPr="00C3317D">
        <w:rPr>
          <w:szCs w:val="22"/>
        </w:rPr>
        <w:t>5.</w:t>
      </w:r>
      <w:r w:rsidRPr="00C3317D">
        <w:rPr>
          <w:szCs w:val="22"/>
        </w:rPr>
        <w:tab/>
        <w:t>En mai 2023, les appels à l</w:t>
      </w:r>
      <w:r>
        <w:rPr>
          <w:szCs w:val="22"/>
        </w:rPr>
        <w:t>’</w:t>
      </w:r>
      <w:r w:rsidRPr="00C3317D">
        <w:rPr>
          <w:szCs w:val="22"/>
        </w:rPr>
        <w:t>action de la Décennie avaient abouti à l</w:t>
      </w:r>
      <w:r>
        <w:rPr>
          <w:szCs w:val="22"/>
        </w:rPr>
        <w:t>’</w:t>
      </w:r>
      <w:r w:rsidRPr="00C3317D">
        <w:rPr>
          <w:szCs w:val="22"/>
        </w:rPr>
        <w:t>approbation de 47</w:t>
      </w:r>
      <w:r w:rsidR="00421E71">
        <w:rPr>
          <w:szCs w:val="22"/>
        </w:rPr>
        <w:t> </w:t>
      </w:r>
      <w:r w:rsidRPr="00C3317D">
        <w:rPr>
          <w:szCs w:val="22"/>
        </w:rPr>
        <w:t>programmes, 235</w:t>
      </w:r>
      <w:r w:rsidR="00421E71">
        <w:rPr>
          <w:szCs w:val="22"/>
        </w:rPr>
        <w:t> </w:t>
      </w:r>
      <w:r w:rsidRPr="00C3317D">
        <w:rPr>
          <w:szCs w:val="22"/>
        </w:rPr>
        <w:t>projets et 79</w:t>
      </w:r>
      <w:r w:rsidR="00421E71">
        <w:rPr>
          <w:szCs w:val="22"/>
        </w:rPr>
        <w:t> </w:t>
      </w:r>
      <w:r w:rsidRPr="00C3317D">
        <w:rPr>
          <w:szCs w:val="22"/>
        </w:rPr>
        <w:t>contributions. Une nouvelle série d</w:t>
      </w:r>
      <w:r>
        <w:rPr>
          <w:szCs w:val="22"/>
        </w:rPr>
        <w:t>’</w:t>
      </w:r>
      <w:r w:rsidRPr="00C3317D">
        <w:rPr>
          <w:szCs w:val="22"/>
        </w:rPr>
        <w:t>actions de la Décennie, comprenant un nouveau programme et plus de 30</w:t>
      </w:r>
      <w:r w:rsidR="00421E71">
        <w:rPr>
          <w:szCs w:val="22"/>
        </w:rPr>
        <w:t> </w:t>
      </w:r>
      <w:r w:rsidRPr="00C3317D">
        <w:rPr>
          <w:szCs w:val="22"/>
        </w:rPr>
        <w:t>projets, devrait être approuvée en juin 2023. Le portefeuille d</w:t>
      </w:r>
      <w:r>
        <w:rPr>
          <w:szCs w:val="22"/>
        </w:rPr>
        <w:t>’</w:t>
      </w:r>
      <w:r w:rsidRPr="00C3317D">
        <w:rPr>
          <w:szCs w:val="22"/>
        </w:rPr>
        <w:t xml:space="preserve">actions de la Décennie couvre tous les bassins océaniques et les </w:t>
      </w:r>
      <w:r w:rsidR="00513CFC">
        <w:rPr>
          <w:szCs w:val="22"/>
        </w:rPr>
        <w:t>10</w:t>
      </w:r>
      <w:r w:rsidRPr="00C3317D">
        <w:rPr>
          <w:szCs w:val="22"/>
        </w:rPr>
        <w:t xml:space="preserve"> défis de la Décennie. Il est le fruit du travail collectif de milliers de personnes et de centaines d</w:t>
      </w:r>
      <w:r>
        <w:rPr>
          <w:szCs w:val="22"/>
        </w:rPr>
        <w:t>’</w:t>
      </w:r>
      <w:r w:rsidRPr="00C3317D">
        <w:rPr>
          <w:szCs w:val="22"/>
        </w:rPr>
        <w:t>institutions, et témoigne du vif intérêt que la Décennie de l</w:t>
      </w:r>
      <w:r>
        <w:rPr>
          <w:szCs w:val="22"/>
        </w:rPr>
        <w:t>’</w:t>
      </w:r>
      <w:r w:rsidRPr="00C3317D">
        <w:rPr>
          <w:szCs w:val="22"/>
        </w:rPr>
        <w:t xml:space="preserve">Océan continue de susciter au niveau mondial. </w:t>
      </w:r>
    </w:p>
    <w:p w14:paraId="5CEF53A6" w14:textId="5B557C9B" w:rsidR="00C3317D" w:rsidRPr="00C3317D" w:rsidRDefault="00C3317D" w:rsidP="00C3317D">
      <w:pPr>
        <w:pStyle w:val="Marge"/>
        <w:rPr>
          <w:szCs w:val="22"/>
        </w:rPr>
      </w:pPr>
      <w:r w:rsidRPr="00C3317D">
        <w:rPr>
          <w:szCs w:val="22"/>
        </w:rPr>
        <w:t>6.</w:t>
      </w:r>
      <w:r w:rsidRPr="00C3317D">
        <w:rPr>
          <w:szCs w:val="22"/>
        </w:rPr>
        <w:tab/>
        <w:t>La première mouture du cadre de suivi et d</w:t>
      </w:r>
      <w:r>
        <w:rPr>
          <w:szCs w:val="22"/>
        </w:rPr>
        <w:t>’</w:t>
      </w:r>
      <w:r w:rsidRPr="00C3317D">
        <w:rPr>
          <w:szCs w:val="22"/>
        </w:rPr>
        <w:t>évaluation de la Décennie de l</w:t>
      </w:r>
      <w:r>
        <w:rPr>
          <w:szCs w:val="22"/>
        </w:rPr>
        <w:t>’</w:t>
      </w:r>
      <w:r w:rsidRPr="00C3317D">
        <w:rPr>
          <w:szCs w:val="22"/>
        </w:rPr>
        <w:t>Océan a été lancée en janvier 2022. Au moment de l</w:t>
      </w:r>
      <w:r>
        <w:rPr>
          <w:szCs w:val="22"/>
        </w:rPr>
        <w:t>’</w:t>
      </w:r>
      <w:r w:rsidRPr="00C3317D">
        <w:rPr>
          <w:szCs w:val="22"/>
        </w:rPr>
        <w:t>établissement du présent document, des rapports avaient été soumis pour</w:t>
      </w:r>
      <w:r w:rsidR="00D67001">
        <w:rPr>
          <w:szCs w:val="22"/>
        </w:rPr>
        <w:t xml:space="preserve"> seulement</w:t>
      </w:r>
      <w:r w:rsidRPr="00C3317D">
        <w:rPr>
          <w:szCs w:val="22"/>
        </w:rPr>
        <w:t xml:space="preserve"> 49</w:t>
      </w:r>
      <w:r w:rsidR="00421E71">
        <w:rPr>
          <w:szCs w:val="22"/>
        </w:rPr>
        <w:t> </w:t>
      </w:r>
      <w:r w:rsidRPr="00C3317D">
        <w:rPr>
          <w:szCs w:val="22"/>
        </w:rPr>
        <w:t>% des actions de la Décennie</w:t>
      </w:r>
      <w:r w:rsidR="00A645B3">
        <w:rPr>
          <w:szCs w:val="22"/>
        </w:rPr>
        <w:t> ;</w:t>
      </w:r>
      <w:r w:rsidRPr="00C3317D">
        <w:rPr>
          <w:szCs w:val="22"/>
        </w:rPr>
        <w:t xml:space="preserve"> </w:t>
      </w:r>
      <w:r w:rsidR="00A645B3" w:rsidRPr="00C3317D">
        <w:rPr>
          <w:szCs w:val="22"/>
        </w:rPr>
        <w:t>toutefois</w:t>
      </w:r>
      <w:r w:rsidR="00A645B3">
        <w:rPr>
          <w:szCs w:val="22"/>
        </w:rPr>
        <w:t>,</w:t>
      </w:r>
      <w:r w:rsidR="00A645B3" w:rsidRPr="00C3317D">
        <w:rPr>
          <w:szCs w:val="22"/>
        </w:rPr>
        <w:t xml:space="preserve"> </w:t>
      </w:r>
      <w:r w:rsidR="00A645B3">
        <w:rPr>
          <w:szCs w:val="22"/>
        </w:rPr>
        <w:t>le</w:t>
      </w:r>
      <w:r w:rsidRPr="00C3317D">
        <w:rPr>
          <w:szCs w:val="22"/>
        </w:rPr>
        <w:t>s données communiquées permettent d</w:t>
      </w:r>
      <w:r>
        <w:rPr>
          <w:szCs w:val="22"/>
        </w:rPr>
        <w:t>’</w:t>
      </w:r>
      <w:r w:rsidRPr="00C3317D">
        <w:rPr>
          <w:szCs w:val="22"/>
        </w:rPr>
        <w:t xml:space="preserve">observer des tendances significatives concernant différentes questions liées à la mise </w:t>
      </w:r>
      <w:r w:rsidRPr="00C3317D">
        <w:rPr>
          <w:szCs w:val="22"/>
        </w:rPr>
        <w:lastRenderedPageBreak/>
        <w:t xml:space="preserve">en œuvre de la Décennie. Sauf indication contraire, les constatations suivantes sont fondées sur les données </w:t>
      </w:r>
      <w:r w:rsidR="00D67001">
        <w:rPr>
          <w:szCs w:val="22"/>
        </w:rPr>
        <w:t>fournies</w:t>
      </w:r>
      <w:r w:rsidRPr="00C3317D">
        <w:rPr>
          <w:szCs w:val="22"/>
        </w:rPr>
        <w:t xml:space="preserve"> p</w:t>
      </w:r>
      <w:r w:rsidR="00A645B3">
        <w:rPr>
          <w:szCs w:val="22"/>
        </w:rPr>
        <w:t>ou</w:t>
      </w:r>
      <w:r w:rsidRPr="00C3317D">
        <w:rPr>
          <w:szCs w:val="22"/>
        </w:rPr>
        <w:t>r ce sous-ensemble d</w:t>
      </w:r>
      <w:r>
        <w:rPr>
          <w:szCs w:val="22"/>
        </w:rPr>
        <w:t>’</w:t>
      </w:r>
      <w:r w:rsidRPr="00C3317D">
        <w:rPr>
          <w:szCs w:val="22"/>
        </w:rPr>
        <w:t xml:space="preserve">actions de la Décennie. </w:t>
      </w:r>
    </w:p>
    <w:p w14:paraId="6468EB2F" w14:textId="403A7416" w:rsidR="00C3317D" w:rsidRPr="00C3317D" w:rsidRDefault="00C3317D" w:rsidP="00C3317D">
      <w:pPr>
        <w:pStyle w:val="Marge"/>
        <w:rPr>
          <w:szCs w:val="22"/>
        </w:rPr>
      </w:pPr>
      <w:r w:rsidRPr="00C3317D">
        <w:rPr>
          <w:szCs w:val="22"/>
        </w:rPr>
        <w:t>7.</w:t>
      </w:r>
      <w:r w:rsidRPr="00C3317D">
        <w:rPr>
          <w:szCs w:val="22"/>
        </w:rPr>
        <w:tab/>
        <w:t>En ce qui concerne la direction des actions de la Décennie, 39</w:t>
      </w:r>
      <w:r w:rsidR="00421E71">
        <w:rPr>
          <w:szCs w:val="22"/>
        </w:rPr>
        <w:t> </w:t>
      </w:r>
      <w:r w:rsidRPr="00C3317D">
        <w:rPr>
          <w:szCs w:val="22"/>
        </w:rPr>
        <w:t>% sont menées par des partenaires nord-américains, 30</w:t>
      </w:r>
      <w:r w:rsidR="00421E71">
        <w:rPr>
          <w:szCs w:val="22"/>
        </w:rPr>
        <w:t> </w:t>
      </w:r>
      <w:r w:rsidRPr="00C3317D">
        <w:rPr>
          <w:szCs w:val="22"/>
        </w:rPr>
        <w:t>% par des partenaires européens et 14</w:t>
      </w:r>
      <w:r w:rsidR="00421E71">
        <w:rPr>
          <w:szCs w:val="22"/>
        </w:rPr>
        <w:t> </w:t>
      </w:r>
      <w:r w:rsidRPr="00C3317D">
        <w:rPr>
          <w:szCs w:val="22"/>
        </w:rPr>
        <w:t>% par des partenaires de la région Asie-Pacifique. Les organismes chefs de file de</w:t>
      </w:r>
      <w:r w:rsidR="00D67001">
        <w:rPr>
          <w:szCs w:val="22"/>
        </w:rPr>
        <w:t xml:space="preserve"> ce</w:t>
      </w:r>
      <w:r w:rsidRPr="00C3317D">
        <w:rPr>
          <w:szCs w:val="22"/>
        </w:rPr>
        <w:t>s actions sont principalement des instituts de recherche, suivis des gouvernements et des universités. Plus de 3</w:t>
      </w:r>
      <w:r w:rsidR="00A645B3">
        <w:rPr>
          <w:szCs w:val="22"/>
        </w:rPr>
        <w:t> </w:t>
      </w:r>
      <w:r w:rsidRPr="00C3317D">
        <w:rPr>
          <w:szCs w:val="22"/>
        </w:rPr>
        <w:t>700</w:t>
      </w:r>
      <w:r w:rsidR="00421E71">
        <w:rPr>
          <w:szCs w:val="22"/>
        </w:rPr>
        <w:t> </w:t>
      </w:r>
      <w:r w:rsidRPr="00C3317D">
        <w:rPr>
          <w:szCs w:val="22"/>
        </w:rPr>
        <w:t>institutions partenaires ont été recensées et présentent une répartition similaire sur le plan géographique et du type d</w:t>
      </w:r>
      <w:r>
        <w:rPr>
          <w:szCs w:val="22"/>
        </w:rPr>
        <w:t>’</w:t>
      </w:r>
      <w:r w:rsidRPr="00C3317D">
        <w:rPr>
          <w:szCs w:val="22"/>
        </w:rPr>
        <w:t>organisme. D</w:t>
      </w:r>
      <w:r>
        <w:rPr>
          <w:szCs w:val="22"/>
        </w:rPr>
        <w:t>’</w:t>
      </w:r>
      <w:r w:rsidRPr="00C3317D">
        <w:rPr>
          <w:szCs w:val="22"/>
        </w:rPr>
        <w:t>après les rapports communiqués sur les actions de la Décennie, 57</w:t>
      </w:r>
      <w:r w:rsidR="00421E71">
        <w:rPr>
          <w:szCs w:val="22"/>
        </w:rPr>
        <w:t> </w:t>
      </w:r>
      <w:r w:rsidRPr="00C3317D">
        <w:rPr>
          <w:szCs w:val="22"/>
        </w:rPr>
        <w:t xml:space="preserve">% des personnes qui participent </w:t>
      </w:r>
      <w:r w:rsidR="00D67001">
        <w:rPr>
          <w:szCs w:val="22"/>
        </w:rPr>
        <w:t xml:space="preserve">à ces dernières </w:t>
      </w:r>
      <w:r w:rsidRPr="00C3317D">
        <w:rPr>
          <w:szCs w:val="22"/>
        </w:rPr>
        <w:t>sont des femmes, et 43</w:t>
      </w:r>
      <w:r w:rsidR="00421E71">
        <w:rPr>
          <w:szCs w:val="22"/>
        </w:rPr>
        <w:t> </w:t>
      </w:r>
      <w:r w:rsidRPr="00C3317D">
        <w:rPr>
          <w:szCs w:val="22"/>
        </w:rPr>
        <w:t>% des hommes. Plus de 4</w:t>
      </w:r>
      <w:r w:rsidR="00D67001">
        <w:rPr>
          <w:szCs w:val="22"/>
        </w:rPr>
        <w:t> </w:t>
      </w:r>
      <w:r w:rsidRPr="00C3317D">
        <w:rPr>
          <w:szCs w:val="22"/>
        </w:rPr>
        <w:t>500</w:t>
      </w:r>
      <w:r w:rsidR="00421E71">
        <w:rPr>
          <w:szCs w:val="22"/>
        </w:rPr>
        <w:t> </w:t>
      </w:r>
      <w:r w:rsidRPr="00C3317D">
        <w:rPr>
          <w:szCs w:val="22"/>
        </w:rPr>
        <w:t xml:space="preserve">jeunes spécialistes des océans participent directement aux actions de la Décennie. </w:t>
      </w:r>
    </w:p>
    <w:p w14:paraId="281348C9" w14:textId="5082DA50" w:rsidR="00C3317D" w:rsidRPr="00C3317D" w:rsidRDefault="00C3317D" w:rsidP="00C3317D">
      <w:pPr>
        <w:pStyle w:val="Marge"/>
        <w:rPr>
          <w:szCs w:val="22"/>
        </w:rPr>
      </w:pPr>
      <w:r w:rsidRPr="00C3317D">
        <w:rPr>
          <w:szCs w:val="22"/>
        </w:rPr>
        <w:t>8.</w:t>
      </w:r>
      <w:r w:rsidRPr="00C3317D">
        <w:rPr>
          <w:szCs w:val="22"/>
        </w:rPr>
        <w:tab/>
        <w:t>D</w:t>
      </w:r>
      <w:r>
        <w:rPr>
          <w:szCs w:val="22"/>
        </w:rPr>
        <w:t>’</w:t>
      </w:r>
      <w:r w:rsidRPr="00C3317D">
        <w:rPr>
          <w:szCs w:val="22"/>
        </w:rPr>
        <w:t>importants écarts entre les régions subsistent dans le portefeuille d</w:t>
      </w:r>
      <w:r>
        <w:rPr>
          <w:szCs w:val="22"/>
        </w:rPr>
        <w:t>’</w:t>
      </w:r>
      <w:r w:rsidRPr="00C3317D">
        <w:rPr>
          <w:szCs w:val="22"/>
        </w:rPr>
        <w:t>actions de la Décennie. La mobilisation des partenaires dans les PEID reste très faible. D</w:t>
      </w:r>
      <w:r>
        <w:rPr>
          <w:szCs w:val="22"/>
        </w:rPr>
        <w:t>’</w:t>
      </w:r>
      <w:r w:rsidRPr="00C3317D">
        <w:rPr>
          <w:szCs w:val="22"/>
        </w:rPr>
        <w:t xml:space="preserve">après les données </w:t>
      </w:r>
      <w:r w:rsidR="00D67001">
        <w:rPr>
          <w:szCs w:val="22"/>
        </w:rPr>
        <w:t>fournies</w:t>
      </w:r>
      <w:r w:rsidRPr="00C3317D">
        <w:rPr>
          <w:szCs w:val="22"/>
        </w:rPr>
        <w:t>, seulement 6</w:t>
      </w:r>
      <w:r w:rsidR="00421E71">
        <w:rPr>
          <w:szCs w:val="22"/>
        </w:rPr>
        <w:t> </w:t>
      </w:r>
      <w:r w:rsidRPr="00C3317D">
        <w:rPr>
          <w:szCs w:val="22"/>
        </w:rPr>
        <w:t>% des actions de la Décennie sont mises en œuvre dans les PEID, et moins de la moitié d</w:t>
      </w:r>
      <w:r>
        <w:rPr>
          <w:szCs w:val="22"/>
        </w:rPr>
        <w:t>’</w:t>
      </w:r>
      <w:r w:rsidRPr="00C3317D">
        <w:rPr>
          <w:szCs w:val="22"/>
        </w:rPr>
        <w:t xml:space="preserve">entre elles sont menées par des partenaires </w:t>
      </w:r>
      <w:r w:rsidR="00A645B3">
        <w:rPr>
          <w:szCs w:val="22"/>
        </w:rPr>
        <w:t xml:space="preserve">issus </w:t>
      </w:r>
      <w:r w:rsidRPr="00C3317D">
        <w:rPr>
          <w:szCs w:val="22"/>
        </w:rPr>
        <w:t xml:space="preserve">de ces pays. </w:t>
      </w:r>
      <w:r w:rsidR="00A645B3">
        <w:rPr>
          <w:szCs w:val="22"/>
        </w:rPr>
        <w:t>S</w:t>
      </w:r>
      <w:r w:rsidRPr="00C3317D">
        <w:rPr>
          <w:szCs w:val="22"/>
        </w:rPr>
        <w:t>eulement 4</w:t>
      </w:r>
      <w:r w:rsidR="00421E71">
        <w:rPr>
          <w:szCs w:val="22"/>
        </w:rPr>
        <w:t> </w:t>
      </w:r>
      <w:r w:rsidRPr="00C3317D">
        <w:rPr>
          <w:szCs w:val="22"/>
        </w:rPr>
        <w:t>% des actions de la Décennie sont pilotées par des partenaires de la région Afrique. Des efforts concertés et ciblés ont été entrepris pour accroître la mobilisation dans les PEID et en Afrique, notamment par l</w:t>
      </w:r>
      <w:r>
        <w:rPr>
          <w:szCs w:val="22"/>
        </w:rPr>
        <w:t>’</w:t>
      </w:r>
      <w:r w:rsidRPr="00C3317D">
        <w:rPr>
          <w:szCs w:val="22"/>
        </w:rPr>
        <w:t xml:space="preserve">élaboration et le lancement de la </w:t>
      </w:r>
      <w:hyperlink r:id="rId15" w:history="1">
        <w:r w:rsidRPr="00C3317D">
          <w:rPr>
            <w:rStyle w:val="Lienhypertexte"/>
            <w:szCs w:val="22"/>
          </w:rPr>
          <w:t>Feuille de route de la Décennie de l</w:t>
        </w:r>
        <w:r>
          <w:rPr>
            <w:rStyle w:val="Lienhypertexte"/>
            <w:szCs w:val="22"/>
          </w:rPr>
          <w:t>’</w:t>
        </w:r>
        <w:r w:rsidRPr="00C3317D">
          <w:rPr>
            <w:rStyle w:val="Lienhypertexte"/>
            <w:szCs w:val="22"/>
          </w:rPr>
          <w:t>Océan pour l</w:t>
        </w:r>
        <w:r>
          <w:rPr>
            <w:rStyle w:val="Lienhypertexte"/>
            <w:szCs w:val="22"/>
          </w:rPr>
          <w:t>’</w:t>
        </w:r>
        <w:r w:rsidRPr="00C3317D">
          <w:rPr>
            <w:rStyle w:val="Lienhypertexte"/>
            <w:szCs w:val="22"/>
          </w:rPr>
          <w:t>Afrique</w:t>
        </w:r>
      </w:hyperlink>
      <w:r w:rsidRPr="00C3317D">
        <w:rPr>
          <w:szCs w:val="22"/>
        </w:rPr>
        <w:t xml:space="preserve"> et la création de l</w:t>
      </w:r>
      <w:r>
        <w:rPr>
          <w:szCs w:val="22"/>
        </w:rPr>
        <w:t>’</w:t>
      </w:r>
      <w:r w:rsidRPr="00C3317D">
        <w:rPr>
          <w:szCs w:val="22"/>
        </w:rPr>
        <w:t>Équipe spéciale de la Décennie de l</w:t>
      </w:r>
      <w:r>
        <w:rPr>
          <w:szCs w:val="22"/>
        </w:rPr>
        <w:t>’</w:t>
      </w:r>
      <w:r w:rsidRPr="00C3317D">
        <w:rPr>
          <w:szCs w:val="22"/>
        </w:rPr>
        <w:t>Océan pour l</w:t>
      </w:r>
      <w:r>
        <w:rPr>
          <w:szCs w:val="22"/>
        </w:rPr>
        <w:t>’</w:t>
      </w:r>
      <w:r w:rsidRPr="00C3317D">
        <w:rPr>
          <w:szCs w:val="22"/>
        </w:rPr>
        <w:t>Afrique, ainsi que par la mise au point d</w:t>
      </w:r>
      <w:r>
        <w:rPr>
          <w:szCs w:val="22"/>
        </w:rPr>
        <w:t>’</w:t>
      </w:r>
      <w:r w:rsidRPr="00C3317D">
        <w:rPr>
          <w:szCs w:val="22"/>
        </w:rPr>
        <w:t xml:space="preserve">une formation à la </w:t>
      </w:r>
      <w:proofErr w:type="spellStart"/>
      <w:r w:rsidRPr="00C3317D">
        <w:rPr>
          <w:szCs w:val="22"/>
        </w:rPr>
        <w:t>co-conception</w:t>
      </w:r>
      <w:proofErr w:type="spellEnd"/>
      <w:r w:rsidRPr="00C3317D">
        <w:rPr>
          <w:szCs w:val="22"/>
        </w:rPr>
        <w:t xml:space="preserve"> destinée aux partenaires africains. Une </w:t>
      </w:r>
      <w:r w:rsidRPr="00B10702">
        <w:rPr>
          <w:szCs w:val="22"/>
        </w:rPr>
        <w:t xml:space="preserve">étude </w:t>
      </w:r>
      <w:r w:rsidR="00B10702" w:rsidRPr="00B10702">
        <w:rPr>
          <w:szCs w:val="22"/>
        </w:rPr>
        <w:t xml:space="preserve">de cadrage </w:t>
      </w:r>
      <w:r w:rsidRPr="00B10702">
        <w:rPr>
          <w:szCs w:val="22"/>
        </w:rPr>
        <w:t>préliminaire</w:t>
      </w:r>
      <w:r w:rsidRPr="00C3317D">
        <w:rPr>
          <w:szCs w:val="22"/>
        </w:rPr>
        <w:t xml:space="preserve"> et une évaluation des besoins en ressources concernant la création d</w:t>
      </w:r>
      <w:r>
        <w:rPr>
          <w:szCs w:val="22"/>
        </w:rPr>
        <w:t>’</w:t>
      </w:r>
      <w:r w:rsidRPr="00C3317D">
        <w:rPr>
          <w:szCs w:val="22"/>
        </w:rPr>
        <w:t>un bureau de coordination de la Décennie au sein de la Sous-Commission de la COI pour l</w:t>
      </w:r>
      <w:r>
        <w:rPr>
          <w:szCs w:val="22"/>
        </w:rPr>
        <w:t>’</w:t>
      </w:r>
      <w:r w:rsidRPr="00C3317D">
        <w:rPr>
          <w:szCs w:val="22"/>
        </w:rPr>
        <w:t>Afrique et les États insulaires adjacents (IOCAFRICA) ont été réalisées et présentées à l</w:t>
      </w:r>
      <w:r>
        <w:rPr>
          <w:szCs w:val="22"/>
        </w:rPr>
        <w:t>’</w:t>
      </w:r>
      <w:r w:rsidRPr="00C3317D">
        <w:rPr>
          <w:szCs w:val="22"/>
        </w:rPr>
        <w:t>IOCAFRICA à sa septième session, en mars 2023. De même, une équipe spéciale pour l</w:t>
      </w:r>
      <w:r>
        <w:rPr>
          <w:szCs w:val="22"/>
        </w:rPr>
        <w:t>’</w:t>
      </w:r>
      <w:r w:rsidRPr="00C3317D">
        <w:rPr>
          <w:szCs w:val="22"/>
        </w:rPr>
        <w:t xml:space="preserve">Amérique tropicale et les Caraïbes </w:t>
      </w:r>
      <w:r w:rsidR="00D67001">
        <w:rPr>
          <w:szCs w:val="22"/>
        </w:rPr>
        <w:t>qui</w:t>
      </w:r>
      <w:r w:rsidRPr="00C3317D">
        <w:rPr>
          <w:szCs w:val="22"/>
        </w:rPr>
        <w:t xml:space="preserve"> supervisera l</w:t>
      </w:r>
      <w:r>
        <w:rPr>
          <w:szCs w:val="22"/>
        </w:rPr>
        <w:t>’</w:t>
      </w:r>
      <w:r w:rsidRPr="00C3317D">
        <w:rPr>
          <w:szCs w:val="22"/>
        </w:rPr>
        <w:t>élaboration d</w:t>
      </w:r>
      <w:r>
        <w:rPr>
          <w:szCs w:val="22"/>
        </w:rPr>
        <w:t>’</w:t>
      </w:r>
      <w:r w:rsidRPr="00C3317D">
        <w:rPr>
          <w:szCs w:val="22"/>
        </w:rPr>
        <w:t>une stratégie régionale pour la Décennie de l</w:t>
      </w:r>
      <w:r>
        <w:rPr>
          <w:szCs w:val="22"/>
        </w:rPr>
        <w:t>’</w:t>
      </w:r>
      <w:r w:rsidRPr="00C3317D">
        <w:rPr>
          <w:szCs w:val="22"/>
        </w:rPr>
        <w:t>Océan</w:t>
      </w:r>
      <w:r w:rsidR="00D67001" w:rsidRPr="00D67001">
        <w:rPr>
          <w:szCs w:val="22"/>
        </w:rPr>
        <w:t xml:space="preserve"> </w:t>
      </w:r>
      <w:r w:rsidR="00D67001" w:rsidRPr="00C3317D">
        <w:rPr>
          <w:szCs w:val="22"/>
        </w:rPr>
        <w:t>est en cours de création</w:t>
      </w:r>
      <w:r w:rsidRPr="00C3317D">
        <w:rPr>
          <w:szCs w:val="22"/>
        </w:rPr>
        <w:t>, et un premier cadrage relatif à l</w:t>
      </w:r>
      <w:r>
        <w:rPr>
          <w:szCs w:val="22"/>
        </w:rPr>
        <w:t>’</w:t>
      </w:r>
      <w:r w:rsidRPr="00C3317D">
        <w:rPr>
          <w:szCs w:val="22"/>
        </w:rPr>
        <w:t>établissement d</w:t>
      </w:r>
      <w:r>
        <w:rPr>
          <w:szCs w:val="22"/>
        </w:rPr>
        <w:t>’</w:t>
      </w:r>
      <w:r w:rsidRPr="00C3317D">
        <w:rPr>
          <w:szCs w:val="22"/>
        </w:rPr>
        <w:t>un bureau de coordination de la Décennie au sein du Bureau de la Sous-Commission de la COI pour les Caraïbes et les régions adjacentes (IOCARIBE) a été présenté à l</w:t>
      </w:r>
      <w:r>
        <w:rPr>
          <w:szCs w:val="22"/>
        </w:rPr>
        <w:t>’</w:t>
      </w:r>
      <w:r w:rsidRPr="00C3317D">
        <w:rPr>
          <w:szCs w:val="22"/>
        </w:rPr>
        <w:t>IOCARIBE à sa 17</w:t>
      </w:r>
      <w:r w:rsidRPr="00C3317D">
        <w:rPr>
          <w:szCs w:val="22"/>
          <w:vertAlign w:val="superscript"/>
        </w:rPr>
        <w:t>e</w:t>
      </w:r>
      <w:r>
        <w:rPr>
          <w:szCs w:val="22"/>
        </w:rPr>
        <w:t> </w:t>
      </w:r>
      <w:r w:rsidRPr="00C3317D">
        <w:rPr>
          <w:szCs w:val="22"/>
        </w:rPr>
        <w:t xml:space="preserve">session, en mai 2023. La collaboration avec les partenaires du Pacifique Sud se poursuit en vue de créer un centre de collaboration de la Décennie. Des ressources financières et en nature supplémentaires seront nécessaires pour soutenir pleinement </w:t>
      </w:r>
      <w:r w:rsidR="00D67001">
        <w:rPr>
          <w:szCs w:val="22"/>
        </w:rPr>
        <w:t>l</w:t>
      </w:r>
      <w:r w:rsidRPr="00C3317D">
        <w:rPr>
          <w:szCs w:val="22"/>
        </w:rPr>
        <w:t xml:space="preserve">es efforts </w:t>
      </w:r>
      <w:r w:rsidR="00D67001">
        <w:rPr>
          <w:szCs w:val="22"/>
        </w:rPr>
        <w:t xml:space="preserve">déployés </w:t>
      </w:r>
      <w:r w:rsidRPr="00C3317D">
        <w:rPr>
          <w:szCs w:val="22"/>
        </w:rPr>
        <w:t xml:space="preserve">en Afrique et dans les PEID et </w:t>
      </w:r>
      <w:r w:rsidR="00D67001">
        <w:rPr>
          <w:szCs w:val="22"/>
        </w:rPr>
        <w:t xml:space="preserve">pour </w:t>
      </w:r>
      <w:r w:rsidRPr="00C3317D">
        <w:rPr>
          <w:szCs w:val="22"/>
        </w:rPr>
        <w:t xml:space="preserve">garantir une participation plus importante de ces pays à la Décennie. </w:t>
      </w:r>
    </w:p>
    <w:p w14:paraId="06DC1147" w14:textId="4334B305" w:rsidR="00C3317D" w:rsidRPr="00C3317D" w:rsidRDefault="00C3317D" w:rsidP="00C3317D">
      <w:pPr>
        <w:pStyle w:val="Marge"/>
        <w:rPr>
          <w:szCs w:val="22"/>
        </w:rPr>
      </w:pPr>
      <w:r w:rsidRPr="00C3317D">
        <w:rPr>
          <w:szCs w:val="22"/>
        </w:rPr>
        <w:t>9.</w:t>
      </w:r>
      <w:r w:rsidRPr="00C3317D">
        <w:rPr>
          <w:szCs w:val="22"/>
        </w:rPr>
        <w:tab/>
        <w:t>D</w:t>
      </w:r>
      <w:r>
        <w:rPr>
          <w:szCs w:val="22"/>
        </w:rPr>
        <w:t>’</w:t>
      </w:r>
      <w:r w:rsidRPr="00C3317D">
        <w:rPr>
          <w:szCs w:val="22"/>
        </w:rPr>
        <w:t>après les rapports communiqués sur les actions de la Décennie, celles-ci ont généré environ 25</w:t>
      </w:r>
      <w:r w:rsidR="003966BA">
        <w:rPr>
          <w:szCs w:val="22"/>
        </w:rPr>
        <w:t> </w:t>
      </w:r>
      <w:r w:rsidRPr="00C3317D">
        <w:rPr>
          <w:szCs w:val="22"/>
        </w:rPr>
        <w:t>000</w:t>
      </w:r>
      <w:r w:rsidR="00421E71">
        <w:rPr>
          <w:szCs w:val="22"/>
        </w:rPr>
        <w:t> </w:t>
      </w:r>
      <w:r w:rsidRPr="00C3317D">
        <w:rPr>
          <w:szCs w:val="22"/>
        </w:rPr>
        <w:t xml:space="preserve">supports de connaissances de divers types, dont de la littérature scientifique, </w:t>
      </w:r>
      <w:r w:rsidR="00A645B3">
        <w:rPr>
          <w:szCs w:val="22"/>
        </w:rPr>
        <w:t>essentiellement consacrés</w:t>
      </w:r>
      <w:r w:rsidRPr="00C3317D">
        <w:rPr>
          <w:szCs w:val="22"/>
        </w:rPr>
        <w:t xml:space="preserve"> aux défis</w:t>
      </w:r>
      <w:r w:rsidR="00421E71">
        <w:rPr>
          <w:szCs w:val="22"/>
        </w:rPr>
        <w:t> </w:t>
      </w:r>
      <w:r w:rsidRPr="00C3317D">
        <w:rPr>
          <w:szCs w:val="22"/>
        </w:rPr>
        <w:t xml:space="preserve">1 </w:t>
      </w:r>
      <w:r>
        <w:rPr>
          <w:szCs w:val="22"/>
        </w:rPr>
        <w:t>(p</w:t>
      </w:r>
      <w:r w:rsidRPr="00C3317D">
        <w:rPr>
          <w:szCs w:val="22"/>
        </w:rPr>
        <w:t>ollution marine</w:t>
      </w:r>
      <w:r>
        <w:rPr>
          <w:szCs w:val="22"/>
        </w:rPr>
        <w:t>)</w:t>
      </w:r>
      <w:r w:rsidRPr="00C3317D">
        <w:rPr>
          <w:szCs w:val="22"/>
        </w:rPr>
        <w:t xml:space="preserve">, 2 </w:t>
      </w:r>
      <w:r>
        <w:rPr>
          <w:szCs w:val="22"/>
        </w:rPr>
        <w:t>(g</w:t>
      </w:r>
      <w:r w:rsidRPr="00C3317D">
        <w:rPr>
          <w:szCs w:val="22"/>
        </w:rPr>
        <w:t>estion des écosystèmes</w:t>
      </w:r>
      <w:r>
        <w:rPr>
          <w:szCs w:val="22"/>
        </w:rPr>
        <w:t>)</w:t>
      </w:r>
      <w:r w:rsidRPr="00C3317D">
        <w:rPr>
          <w:szCs w:val="22"/>
        </w:rPr>
        <w:t xml:space="preserve"> et 9 </w:t>
      </w:r>
      <w:r>
        <w:rPr>
          <w:szCs w:val="22"/>
        </w:rPr>
        <w:t>(d</w:t>
      </w:r>
      <w:r w:rsidRPr="00C3317D">
        <w:rPr>
          <w:szCs w:val="22"/>
        </w:rPr>
        <w:t>es compétences et des connaissances pour tous</w:t>
      </w:r>
      <w:r>
        <w:rPr>
          <w:szCs w:val="22"/>
        </w:rPr>
        <w:t>)</w:t>
      </w:r>
      <w:r w:rsidRPr="00C3317D">
        <w:rPr>
          <w:szCs w:val="22"/>
        </w:rPr>
        <w:t xml:space="preserve"> de la Décennie de l</w:t>
      </w:r>
      <w:r>
        <w:rPr>
          <w:szCs w:val="22"/>
        </w:rPr>
        <w:t>’</w:t>
      </w:r>
      <w:r w:rsidRPr="00C3317D">
        <w:rPr>
          <w:szCs w:val="22"/>
        </w:rPr>
        <w:t>Océan. Les actions de la Décennie ont fait état de 21</w:t>
      </w:r>
      <w:r w:rsidR="00A645B3">
        <w:rPr>
          <w:szCs w:val="22"/>
        </w:rPr>
        <w:t> </w:t>
      </w:r>
      <w:r w:rsidRPr="00C3317D">
        <w:rPr>
          <w:szCs w:val="22"/>
        </w:rPr>
        <w:t>000</w:t>
      </w:r>
      <w:r w:rsidR="00421E71">
        <w:rPr>
          <w:szCs w:val="22"/>
        </w:rPr>
        <w:t> </w:t>
      </w:r>
      <w:r w:rsidRPr="00C3317D">
        <w:rPr>
          <w:szCs w:val="22"/>
        </w:rPr>
        <w:t>cas d</w:t>
      </w:r>
      <w:r>
        <w:rPr>
          <w:szCs w:val="22"/>
        </w:rPr>
        <w:t>’</w:t>
      </w:r>
      <w:r w:rsidRPr="00C3317D">
        <w:rPr>
          <w:szCs w:val="22"/>
        </w:rPr>
        <w:t>intégration des connaissances, qu</w:t>
      </w:r>
      <w:r>
        <w:rPr>
          <w:szCs w:val="22"/>
        </w:rPr>
        <w:t>’</w:t>
      </w:r>
      <w:r w:rsidRPr="00C3317D">
        <w:rPr>
          <w:szCs w:val="22"/>
        </w:rPr>
        <w:t>il s</w:t>
      </w:r>
      <w:r>
        <w:rPr>
          <w:szCs w:val="22"/>
        </w:rPr>
        <w:t>’</w:t>
      </w:r>
      <w:r w:rsidRPr="00C3317D">
        <w:rPr>
          <w:szCs w:val="22"/>
        </w:rPr>
        <w:t>agisse de citations scientifiques ou d</w:t>
      </w:r>
      <w:r>
        <w:rPr>
          <w:szCs w:val="22"/>
        </w:rPr>
        <w:t>’</w:t>
      </w:r>
      <w:r w:rsidRPr="00C3317D">
        <w:rPr>
          <w:szCs w:val="22"/>
        </w:rPr>
        <w:t>assimilation à des fins d</w:t>
      </w:r>
      <w:r w:rsidR="004E56D5">
        <w:rPr>
          <w:szCs w:val="22"/>
        </w:rPr>
        <w:t>’élaboration de</w:t>
      </w:r>
      <w:r w:rsidRPr="00C3317D">
        <w:rPr>
          <w:szCs w:val="22"/>
        </w:rPr>
        <w:t xml:space="preserve"> politique</w:t>
      </w:r>
      <w:r w:rsidR="004E56D5">
        <w:rPr>
          <w:szCs w:val="22"/>
        </w:rPr>
        <w:t>s</w:t>
      </w:r>
      <w:r w:rsidRPr="00C3317D">
        <w:rPr>
          <w:szCs w:val="22"/>
        </w:rPr>
        <w:t>, de gestion, d</w:t>
      </w:r>
      <w:r>
        <w:rPr>
          <w:szCs w:val="22"/>
        </w:rPr>
        <w:t>’</w:t>
      </w:r>
      <w:r w:rsidRPr="00C3317D">
        <w:rPr>
          <w:szCs w:val="22"/>
        </w:rPr>
        <w:t>éducation ou autres. Les défis</w:t>
      </w:r>
      <w:r w:rsidR="00421E71">
        <w:rPr>
          <w:szCs w:val="22"/>
        </w:rPr>
        <w:t> </w:t>
      </w:r>
      <w:r w:rsidRPr="00C3317D">
        <w:rPr>
          <w:szCs w:val="22"/>
        </w:rPr>
        <w:t xml:space="preserve">9 </w:t>
      </w:r>
      <w:r>
        <w:rPr>
          <w:szCs w:val="22"/>
        </w:rPr>
        <w:t>(d</w:t>
      </w:r>
      <w:r w:rsidRPr="00C3317D">
        <w:rPr>
          <w:szCs w:val="22"/>
        </w:rPr>
        <w:t>es compétences et des connaissances pour tous</w:t>
      </w:r>
      <w:r>
        <w:rPr>
          <w:szCs w:val="22"/>
        </w:rPr>
        <w:t>)</w:t>
      </w:r>
      <w:r w:rsidRPr="00C3317D">
        <w:rPr>
          <w:szCs w:val="22"/>
        </w:rPr>
        <w:t>, 5 (lien océan-climat) et 1 (pollution marine) sont les plus cités en ce qui concerne l</w:t>
      </w:r>
      <w:r>
        <w:rPr>
          <w:szCs w:val="22"/>
        </w:rPr>
        <w:t>’</w:t>
      </w:r>
      <w:r w:rsidRPr="00C3317D">
        <w:rPr>
          <w:szCs w:val="22"/>
        </w:rPr>
        <w:t xml:space="preserve">intégration des connaissances. </w:t>
      </w:r>
    </w:p>
    <w:p w14:paraId="438F847E" w14:textId="2ADD9BD6" w:rsidR="00C3317D" w:rsidRPr="00C3317D" w:rsidRDefault="00C3317D" w:rsidP="00C3317D">
      <w:pPr>
        <w:pStyle w:val="Marge"/>
        <w:rPr>
          <w:szCs w:val="22"/>
        </w:rPr>
      </w:pPr>
      <w:r w:rsidRPr="00C3317D">
        <w:rPr>
          <w:szCs w:val="22"/>
        </w:rPr>
        <w:t>10.</w:t>
      </w:r>
      <w:r w:rsidRPr="00C3317D">
        <w:rPr>
          <w:szCs w:val="22"/>
        </w:rPr>
        <w:tab/>
        <w:t>D</w:t>
      </w:r>
      <w:r>
        <w:rPr>
          <w:szCs w:val="22"/>
        </w:rPr>
        <w:t>’</w:t>
      </w:r>
      <w:r w:rsidRPr="00C3317D">
        <w:rPr>
          <w:szCs w:val="22"/>
        </w:rPr>
        <w:t>après les rapports communiqués, près de 4</w:t>
      </w:r>
      <w:r w:rsidR="005B6800">
        <w:rPr>
          <w:szCs w:val="22"/>
        </w:rPr>
        <w:t> </w:t>
      </w:r>
      <w:r w:rsidRPr="00C3317D">
        <w:rPr>
          <w:szCs w:val="22"/>
        </w:rPr>
        <w:t>000</w:t>
      </w:r>
      <w:r w:rsidR="00421E71">
        <w:rPr>
          <w:szCs w:val="22"/>
        </w:rPr>
        <w:t> </w:t>
      </w:r>
      <w:r w:rsidRPr="00C3317D">
        <w:rPr>
          <w:szCs w:val="22"/>
        </w:rPr>
        <w:t>initiatives de développement des capacités ont été mises en œuvre, l</w:t>
      </w:r>
      <w:r>
        <w:rPr>
          <w:szCs w:val="22"/>
        </w:rPr>
        <w:t>’</w:t>
      </w:r>
      <w:r w:rsidRPr="00C3317D">
        <w:rPr>
          <w:szCs w:val="22"/>
        </w:rPr>
        <w:t>accent étant principalement mis sur les jeunes spécialistes des océans. Le dispositif de développement des capacités de la Décennie de l</w:t>
      </w:r>
      <w:r>
        <w:rPr>
          <w:szCs w:val="22"/>
        </w:rPr>
        <w:t>’</w:t>
      </w:r>
      <w:r w:rsidRPr="00C3317D">
        <w:rPr>
          <w:szCs w:val="22"/>
        </w:rPr>
        <w:t>Océan, qui bénéficie du soutien du Gouvernement de la Flandre (Royaume de Belgique), sera pleinement opérationnel dans les mois à venir et fournira un cadre pour le développement des capacités</w:t>
      </w:r>
      <w:r w:rsidR="00BD661E" w:rsidRPr="00BD661E">
        <w:rPr>
          <w:szCs w:val="22"/>
        </w:rPr>
        <w:t xml:space="preserve"> </w:t>
      </w:r>
      <w:r w:rsidR="00BD661E" w:rsidRPr="00C3317D">
        <w:rPr>
          <w:szCs w:val="22"/>
        </w:rPr>
        <w:t>ancré dans la Décennie de l</w:t>
      </w:r>
      <w:r w:rsidR="00BD661E">
        <w:rPr>
          <w:szCs w:val="22"/>
        </w:rPr>
        <w:t>’</w:t>
      </w:r>
      <w:r w:rsidR="00BD661E" w:rsidRPr="00C3317D">
        <w:rPr>
          <w:szCs w:val="22"/>
        </w:rPr>
        <w:t>océan</w:t>
      </w:r>
      <w:r w:rsidRPr="00C3317D">
        <w:rPr>
          <w:szCs w:val="22"/>
        </w:rPr>
        <w:t>.</w:t>
      </w:r>
    </w:p>
    <w:p w14:paraId="73DABC59" w14:textId="53DDECFD" w:rsidR="00C3317D" w:rsidRPr="00C3317D" w:rsidRDefault="00C3317D" w:rsidP="00C3317D">
      <w:pPr>
        <w:pStyle w:val="Marge"/>
        <w:rPr>
          <w:szCs w:val="22"/>
        </w:rPr>
      </w:pPr>
      <w:r w:rsidRPr="00C3317D">
        <w:rPr>
          <w:szCs w:val="22"/>
        </w:rPr>
        <w:t>11.</w:t>
      </w:r>
      <w:r w:rsidRPr="00C3317D">
        <w:rPr>
          <w:szCs w:val="22"/>
        </w:rPr>
        <w:tab/>
        <w:t>La COI dirige 16</w:t>
      </w:r>
      <w:r w:rsidR="00421E71">
        <w:rPr>
          <w:szCs w:val="22"/>
        </w:rPr>
        <w:t> </w:t>
      </w:r>
      <w:r w:rsidRPr="00C3317D">
        <w:rPr>
          <w:szCs w:val="22"/>
        </w:rPr>
        <w:t xml:space="preserve">programmes et projets de la Décennie portant sur toute une série de thèmes, et participe activement à plusieurs autres. </w:t>
      </w:r>
      <w:r w:rsidR="00A645B3">
        <w:rPr>
          <w:szCs w:val="22"/>
        </w:rPr>
        <w:t>S</w:t>
      </w:r>
      <w:r w:rsidRPr="00C3317D">
        <w:rPr>
          <w:szCs w:val="22"/>
        </w:rPr>
        <w:t xml:space="preserve">a contribution à la Décennie pourrait considérablement renforcer </w:t>
      </w:r>
      <w:r w:rsidR="00A0637E">
        <w:rPr>
          <w:szCs w:val="22"/>
        </w:rPr>
        <w:t>s</w:t>
      </w:r>
      <w:r w:rsidRPr="00C3317D">
        <w:rPr>
          <w:szCs w:val="22"/>
        </w:rPr>
        <w:t>es activités de programme essentielles et ses ressources humaines. Toutefois, des ressources supplémentaires sont nécessaires pour assurer la pleine mise en œuvre de ces initiatives. Le document IOC/INF-1425 fournit davantage d</w:t>
      </w:r>
      <w:r>
        <w:rPr>
          <w:szCs w:val="22"/>
        </w:rPr>
        <w:t>’</w:t>
      </w:r>
      <w:r w:rsidRPr="00C3317D">
        <w:rPr>
          <w:szCs w:val="22"/>
        </w:rPr>
        <w:t>informations sur la contribution de la COI à la Décennie ainsi qu</w:t>
      </w:r>
      <w:r>
        <w:rPr>
          <w:szCs w:val="22"/>
        </w:rPr>
        <w:t>’</w:t>
      </w:r>
      <w:r w:rsidRPr="00C3317D">
        <w:rPr>
          <w:szCs w:val="22"/>
        </w:rPr>
        <w:t xml:space="preserve">un résumé des besoins en ressources. Outre les actions de la Décennie </w:t>
      </w:r>
      <w:r w:rsidRPr="00C3317D">
        <w:rPr>
          <w:szCs w:val="22"/>
        </w:rPr>
        <w:lastRenderedPageBreak/>
        <w:t>dirigées par la C</w:t>
      </w:r>
      <w:r w:rsidR="00A0637E">
        <w:rPr>
          <w:szCs w:val="22"/>
        </w:rPr>
        <w:t>ommission</w:t>
      </w:r>
      <w:r w:rsidRPr="00C3317D">
        <w:rPr>
          <w:szCs w:val="22"/>
        </w:rPr>
        <w:t xml:space="preserve">, quelques actions sont </w:t>
      </w:r>
      <w:r w:rsidR="00A0637E">
        <w:rPr>
          <w:szCs w:val="22"/>
        </w:rPr>
        <w:t>pilot</w:t>
      </w:r>
      <w:r w:rsidRPr="00C3317D">
        <w:rPr>
          <w:szCs w:val="22"/>
        </w:rPr>
        <w:t>ées par d</w:t>
      </w:r>
      <w:r>
        <w:rPr>
          <w:szCs w:val="22"/>
        </w:rPr>
        <w:t>’</w:t>
      </w:r>
      <w:r w:rsidRPr="00C3317D">
        <w:rPr>
          <w:szCs w:val="22"/>
        </w:rPr>
        <w:t>autres organismes des Nations Unies, notamment la FAO et le PNUE. Le document IOC/INF-1428 présente les résultats d</w:t>
      </w:r>
      <w:r>
        <w:rPr>
          <w:szCs w:val="22"/>
        </w:rPr>
        <w:t>’</w:t>
      </w:r>
      <w:r w:rsidRPr="00C3317D">
        <w:rPr>
          <w:szCs w:val="22"/>
        </w:rPr>
        <w:t>une analyse et un plan d</w:t>
      </w:r>
      <w:r>
        <w:rPr>
          <w:szCs w:val="22"/>
        </w:rPr>
        <w:t>’</w:t>
      </w:r>
      <w:r w:rsidRPr="00C3317D">
        <w:rPr>
          <w:szCs w:val="22"/>
        </w:rPr>
        <w:t>action visant à tirer parti de la volonté exprimée par d</w:t>
      </w:r>
      <w:r>
        <w:rPr>
          <w:szCs w:val="22"/>
        </w:rPr>
        <w:t>’</w:t>
      </w:r>
      <w:r w:rsidRPr="00C3317D">
        <w:rPr>
          <w:szCs w:val="22"/>
        </w:rPr>
        <w:t>autres organismes des Nations Unies d</w:t>
      </w:r>
      <w:r>
        <w:rPr>
          <w:szCs w:val="22"/>
        </w:rPr>
        <w:t>’</w:t>
      </w:r>
      <w:r w:rsidRPr="00C3317D">
        <w:rPr>
          <w:szCs w:val="22"/>
        </w:rPr>
        <w:t>accroître leur participation à la Décennie de l</w:t>
      </w:r>
      <w:r>
        <w:rPr>
          <w:szCs w:val="22"/>
        </w:rPr>
        <w:t>’</w:t>
      </w:r>
      <w:r w:rsidRPr="00C3317D">
        <w:rPr>
          <w:szCs w:val="22"/>
        </w:rPr>
        <w:t xml:space="preserve">Océan. </w:t>
      </w:r>
    </w:p>
    <w:p w14:paraId="297895B9" w14:textId="12B029F4" w:rsidR="00C3317D" w:rsidRPr="00C3317D" w:rsidRDefault="00C3317D" w:rsidP="00C3317D">
      <w:pPr>
        <w:pStyle w:val="Marge"/>
        <w:rPr>
          <w:b/>
          <w:bCs/>
          <w:szCs w:val="22"/>
        </w:rPr>
      </w:pPr>
      <w:r w:rsidRPr="00C3317D">
        <w:rPr>
          <w:b/>
          <w:bCs/>
          <w:szCs w:val="22"/>
        </w:rPr>
        <w:t>Structures de gouvernance et de coordination et groupes de travail informels</w:t>
      </w:r>
    </w:p>
    <w:p w14:paraId="1214A98F" w14:textId="73B2E0D9" w:rsidR="00C3317D" w:rsidRPr="00C3317D" w:rsidRDefault="00C3317D" w:rsidP="00C3317D">
      <w:pPr>
        <w:pStyle w:val="Marge"/>
        <w:rPr>
          <w:szCs w:val="22"/>
        </w:rPr>
      </w:pPr>
      <w:r w:rsidRPr="00C3317D">
        <w:rPr>
          <w:szCs w:val="22"/>
        </w:rPr>
        <w:t>12.</w:t>
      </w:r>
      <w:r w:rsidRPr="00C3317D">
        <w:rPr>
          <w:szCs w:val="22"/>
        </w:rPr>
        <w:tab/>
      </w:r>
      <w:r w:rsidRPr="005B6800">
        <w:rPr>
          <w:spacing w:val="-2"/>
          <w:szCs w:val="22"/>
        </w:rPr>
        <w:t xml:space="preserve">Le Comité consultatif intérimaire de la Décennie s’est réuni à deux reprises avant sa dissolution, à la fin de 2021. </w:t>
      </w:r>
      <w:r w:rsidR="00A0637E" w:rsidRPr="005B6800">
        <w:rPr>
          <w:spacing w:val="-2"/>
          <w:szCs w:val="22"/>
        </w:rPr>
        <w:t>C</w:t>
      </w:r>
      <w:r w:rsidRPr="005B6800">
        <w:rPr>
          <w:spacing w:val="-2"/>
          <w:szCs w:val="22"/>
        </w:rPr>
        <w:t>réé en décembre 2021</w:t>
      </w:r>
      <w:r w:rsidR="00A0637E" w:rsidRPr="005B6800">
        <w:rPr>
          <w:spacing w:val="-2"/>
          <w:szCs w:val="22"/>
        </w:rPr>
        <w:t>, il</w:t>
      </w:r>
      <w:r w:rsidRPr="005B6800">
        <w:rPr>
          <w:spacing w:val="-2"/>
          <w:szCs w:val="22"/>
        </w:rPr>
        <w:t xml:space="preserve"> a tenu sa première réunion en janvier 2022, puis sa première réunion opérationnelle en présentiel en mars 2022. Trois réunions en ligne ont ensuite eu lieu en 2022 et au début de 2023, et </w:t>
      </w:r>
      <w:r w:rsidR="00A0637E" w:rsidRPr="005B6800">
        <w:rPr>
          <w:spacing w:val="-2"/>
          <w:szCs w:val="22"/>
        </w:rPr>
        <w:t>une</w:t>
      </w:r>
      <w:r w:rsidRPr="005B6800">
        <w:rPr>
          <w:spacing w:val="-2"/>
          <w:szCs w:val="22"/>
        </w:rPr>
        <w:t xml:space="preserve"> deuxième réunion en présentiel s’est déroulée en mai 2023. Lors de ces réunions, le Comité a examiné les recommandations relatives à l’approbation des programmes de la Décennie présentés dans le cadre des appels à l’action, ainsi qu’une série de questions stratégiques liées à la mesure des progrès de la Décennie, à la mobilisation de ressources, à la place des savoirs locaux et autochtones dans la Décennie et aux moyens d’accroître la participation des </w:t>
      </w:r>
      <w:r w:rsidR="00A0637E" w:rsidRPr="005B6800">
        <w:rPr>
          <w:spacing w:val="-2"/>
          <w:szCs w:val="22"/>
        </w:rPr>
        <w:t>PEID</w:t>
      </w:r>
      <w:r w:rsidRPr="005B6800">
        <w:rPr>
          <w:spacing w:val="-2"/>
          <w:szCs w:val="22"/>
        </w:rPr>
        <w:t xml:space="preserve"> et des pays les moins avancés. Le document IOC/INF-1426 présente un résumé des travaux </w:t>
      </w:r>
      <w:r w:rsidR="00A0637E" w:rsidRPr="005B6800">
        <w:rPr>
          <w:spacing w:val="-2"/>
          <w:szCs w:val="22"/>
        </w:rPr>
        <w:t>accomplis par le</w:t>
      </w:r>
      <w:r w:rsidRPr="005B6800">
        <w:rPr>
          <w:spacing w:val="-2"/>
          <w:szCs w:val="22"/>
        </w:rPr>
        <w:t xml:space="preserve"> Comité </w:t>
      </w:r>
      <w:r w:rsidR="00A0637E" w:rsidRPr="005B6800">
        <w:rPr>
          <w:spacing w:val="-2"/>
          <w:szCs w:val="22"/>
        </w:rPr>
        <w:t>pendant</w:t>
      </w:r>
      <w:r w:rsidRPr="005B6800">
        <w:rPr>
          <w:spacing w:val="-2"/>
          <w:szCs w:val="22"/>
        </w:rPr>
        <w:t xml:space="preserve"> cette période.</w:t>
      </w:r>
      <w:r w:rsidRPr="00C3317D">
        <w:rPr>
          <w:szCs w:val="22"/>
        </w:rPr>
        <w:t xml:space="preserve"> </w:t>
      </w:r>
    </w:p>
    <w:p w14:paraId="3DB99423" w14:textId="4C1A4822" w:rsidR="00C3317D" w:rsidRPr="00C3317D" w:rsidRDefault="00C3317D" w:rsidP="00C3317D">
      <w:pPr>
        <w:pStyle w:val="Marge"/>
        <w:rPr>
          <w:szCs w:val="22"/>
        </w:rPr>
      </w:pPr>
      <w:r w:rsidRPr="00C3317D">
        <w:rPr>
          <w:szCs w:val="22"/>
        </w:rPr>
        <w:t>13.</w:t>
      </w:r>
      <w:r w:rsidRPr="00C3317D">
        <w:rPr>
          <w:szCs w:val="22"/>
        </w:rPr>
        <w:tab/>
        <w:t>Au cours de la période considérée, trois bureaux de coordination, six centres de collaboration et neuf partenaires d</w:t>
      </w:r>
      <w:r>
        <w:rPr>
          <w:szCs w:val="22"/>
        </w:rPr>
        <w:t>’</w:t>
      </w:r>
      <w:r w:rsidRPr="00C3317D">
        <w:rPr>
          <w:szCs w:val="22"/>
        </w:rPr>
        <w:t>exécution de la Décennie ont été créés. Les bureaux de coordination et les centres de collaboration jouent un rôle essentiel pour aider l</w:t>
      </w:r>
      <w:r>
        <w:rPr>
          <w:szCs w:val="22"/>
        </w:rPr>
        <w:t>’</w:t>
      </w:r>
      <w:r w:rsidRPr="00C3317D">
        <w:rPr>
          <w:szCs w:val="22"/>
        </w:rPr>
        <w:t xml:space="preserve">Unité de coordination de la Décennie à coordonner les actions de la Décennie, favoriser le lancement de nouvelles initiatives, </w:t>
      </w:r>
      <w:r w:rsidR="00A0637E">
        <w:rPr>
          <w:szCs w:val="22"/>
        </w:rPr>
        <w:t>a</w:t>
      </w:r>
      <w:r w:rsidRPr="00C3317D">
        <w:rPr>
          <w:szCs w:val="22"/>
        </w:rPr>
        <w:t>ccroître la participation des parties prenantes, mobiliser des ressources et communiquer sur la Décennie. Les trois bureaux de coordination sont hébergés par la COI (région du Pacifique occidental</w:t>
      </w:r>
      <w:r w:rsidR="00A0637E">
        <w:rPr>
          <w:szCs w:val="22"/>
        </w:rPr>
        <w:t> :</w:t>
      </w:r>
      <w:r w:rsidRPr="00C3317D">
        <w:rPr>
          <w:szCs w:val="22"/>
        </w:rPr>
        <w:t xml:space="preserve"> WESTPAC</w:t>
      </w:r>
      <w:r w:rsidR="00421E71">
        <w:rPr>
          <w:szCs w:val="22"/>
        </w:rPr>
        <w:t> </w:t>
      </w:r>
      <w:r w:rsidRPr="00C3317D">
        <w:rPr>
          <w:szCs w:val="22"/>
        </w:rPr>
        <w:t>; partage des données</w:t>
      </w:r>
      <w:r w:rsidR="00A0637E">
        <w:rPr>
          <w:szCs w:val="22"/>
        </w:rPr>
        <w:t xml:space="preserve"> : </w:t>
      </w:r>
      <w:r w:rsidRPr="00C3317D">
        <w:rPr>
          <w:szCs w:val="22"/>
        </w:rPr>
        <w:t>Échange</w:t>
      </w:r>
      <w:r>
        <w:rPr>
          <w:szCs w:val="22"/>
        </w:rPr>
        <w:t xml:space="preserve"> </w:t>
      </w:r>
      <w:r w:rsidRPr="00C3317D">
        <w:rPr>
          <w:szCs w:val="22"/>
        </w:rPr>
        <w:t>international des données et de l</w:t>
      </w:r>
      <w:r>
        <w:rPr>
          <w:szCs w:val="22"/>
        </w:rPr>
        <w:t>’</w:t>
      </w:r>
      <w:r w:rsidRPr="00C3317D">
        <w:rPr>
          <w:szCs w:val="22"/>
        </w:rPr>
        <w:t>information océanographiques</w:t>
      </w:r>
      <w:r w:rsidR="00A0637E">
        <w:rPr>
          <w:szCs w:val="22"/>
        </w:rPr>
        <w:t xml:space="preserve"> – </w:t>
      </w:r>
      <w:r w:rsidRPr="00C3317D">
        <w:rPr>
          <w:szCs w:val="22"/>
        </w:rPr>
        <w:t>IODE</w:t>
      </w:r>
      <w:r w:rsidR="00421E71">
        <w:rPr>
          <w:szCs w:val="22"/>
        </w:rPr>
        <w:t> </w:t>
      </w:r>
      <w:r w:rsidRPr="00C3317D">
        <w:rPr>
          <w:szCs w:val="22"/>
        </w:rPr>
        <w:t>; observations océaniques</w:t>
      </w:r>
      <w:r w:rsidR="00A0637E">
        <w:rPr>
          <w:szCs w:val="22"/>
        </w:rPr>
        <w:t> :</w:t>
      </w:r>
      <w:r w:rsidRPr="00C3317D">
        <w:rPr>
          <w:szCs w:val="22"/>
        </w:rPr>
        <w:t xml:space="preserve"> Système</w:t>
      </w:r>
      <w:r>
        <w:rPr>
          <w:szCs w:val="22"/>
        </w:rPr>
        <w:t xml:space="preserve"> </w:t>
      </w:r>
      <w:r w:rsidRPr="00C3317D">
        <w:rPr>
          <w:szCs w:val="22"/>
        </w:rPr>
        <w:t>mondial d</w:t>
      </w:r>
      <w:r>
        <w:rPr>
          <w:szCs w:val="22"/>
        </w:rPr>
        <w:t>’</w:t>
      </w:r>
      <w:r w:rsidRPr="00C3317D">
        <w:rPr>
          <w:szCs w:val="22"/>
        </w:rPr>
        <w:t>observation de l</w:t>
      </w:r>
      <w:r>
        <w:rPr>
          <w:szCs w:val="22"/>
        </w:rPr>
        <w:t>’</w:t>
      </w:r>
      <w:r w:rsidRPr="00C3317D">
        <w:rPr>
          <w:szCs w:val="22"/>
        </w:rPr>
        <w:t xml:space="preserve">océan </w:t>
      </w:r>
      <w:r w:rsidR="00A0637E">
        <w:rPr>
          <w:szCs w:val="22"/>
        </w:rPr>
        <w:t>–</w:t>
      </w:r>
      <w:r w:rsidRPr="00C3317D">
        <w:rPr>
          <w:szCs w:val="22"/>
        </w:rPr>
        <w:t xml:space="preserve"> GOOS). Le premier d</w:t>
      </w:r>
      <w:r>
        <w:rPr>
          <w:szCs w:val="22"/>
        </w:rPr>
        <w:t>’</w:t>
      </w:r>
      <w:r w:rsidRPr="00C3317D">
        <w:rPr>
          <w:szCs w:val="22"/>
        </w:rPr>
        <w:t xml:space="preserve">entre eux reçoit un appui de la Thaïlande, </w:t>
      </w:r>
      <w:r w:rsidR="00A0637E">
        <w:rPr>
          <w:szCs w:val="22"/>
        </w:rPr>
        <w:t>mais</w:t>
      </w:r>
      <w:r w:rsidRPr="00C3317D">
        <w:rPr>
          <w:szCs w:val="22"/>
        </w:rPr>
        <w:t xml:space="preserve"> des ressources supplémentaires sont </w:t>
      </w:r>
      <w:r w:rsidR="002924C9">
        <w:rPr>
          <w:szCs w:val="22"/>
        </w:rPr>
        <w:t>requises</w:t>
      </w:r>
      <w:r w:rsidRPr="00C3317D">
        <w:rPr>
          <w:szCs w:val="22"/>
        </w:rPr>
        <w:t xml:space="preserve"> pour que les bureaux de coordination pour le partage des données et les observations océaniques soient pleinement opérationnels. Les centres de collaboration ont été créés par les partenaires et disposent des ressources et des moyens financiers adéquats. Le document IOC/INF-1425 fournit des informations sur les centres de collaboration déjà en place. En plus des bureaux de coordination de l</w:t>
      </w:r>
      <w:r>
        <w:rPr>
          <w:szCs w:val="22"/>
        </w:rPr>
        <w:t>’</w:t>
      </w:r>
      <w:r w:rsidRPr="00C3317D">
        <w:rPr>
          <w:szCs w:val="22"/>
        </w:rPr>
        <w:t>IOCAFRICA et de l</w:t>
      </w:r>
      <w:r>
        <w:rPr>
          <w:szCs w:val="22"/>
        </w:rPr>
        <w:t>’</w:t>
      </w:r>
      <w:r w:rsidRPr="00C3317D">
        <w:rPr>
          <w:szCs w:val="22"/>
        </w:rPr>
        <w:t>IOCARIBE, dont le domaine de compétence est en train d</w:t>
      </w:r>
      <w:r>
        <w:rPr>
          <w:szCs w:val="22"/>
        </w:rPr>
        <w:t>’</w:t>
      </w:r>
      <w:r w:rsidRPr="00C3317D">
        <w:rPr>
          <w:szCs w:val="22"/>
        </w:rPr>
        <w:t>être défini de façon qu</w:t>
      </w:r>
      <w:r>
        <w:rPr>
          <w:szCs w:val="22"/>
        </w:rPr>
        <w:t>’</w:t>
      </w:r>
      <w:r w:rsidRPr="00C3317D">
        <w:rPr>
          <w:szCs w:val="22"/>
        </w:rPr>
        <w:t xml:space="preserve">ils assurent un rôle </w:t>
      </w:r>
      <w:r w:rsidR="002924C9">
        <w:rPr>
          <w:szCs w:val="22"/>
        </w:rPr>
        <w:t xml:space="preserve">clé </w:t>
      </w:r>
      <w:r w:rsidRPr="00C3317D">
        <w:rPr>
          <w:szCs w:val="22"/>
        </w:rPr>
        <w:t>de coordination régionale, des discussions sont en cours avec des partenaires concernant la création de centres de collaboration pour les régions de l</w:t>
      </w:r>
      <w:r>
        <w:rPr>
          <w:szCs w:val="22"/>
        </w:rPr>
        <w:t>’</w:t>
      </w:r>
      <w:r w:rsidRPr="00C3317D">
        <w:rPr>
          <w:szCs w:val="22"/>
        </w:rPr>
        <w:t>océan Austral, de l</w:t>
      </w:r>
      <w:r>
        <w:rPr>
          <w:szCs w:val="22"/>
        </w:rPr>
        <w:t>’</w:t>
      </w:r>
      <w:r w:rsidRPr="00C3317D">
        <w:rPr>
          <w:szCs w:val="22"/>
        </w:rPr>
        <w:t>Arctique et du Pacifique Sud.</w:t>
      </w:r>
    </w:p>
    <w:p w14:paraId="1374DD9B" w14:textId="52DC3D06" w:rsidR="00C3317D" w:rsidRPr="00C3317D" w:rsidRDefault="00C3317D" w:rsidP="00C3317D">
      <w:pPr>
        <w:pStyle w:val="Marge"/>
        <w:rPr>
          <w:szCs w:val="22"/>
        </w:rPr>
      </w:pPr>
      <w:r w:rsidRPr="00C3317D">
        <w:rPr>
          <w:szCs w:val="22"/>
        </w:rPr>
        <w:t>14.</w:t>
      </w:r>
      <w:r w:rsidRPr="00C3317D">
        <w:rPr>
          <w:szCs w:val="22"/>
        </w:rPr>
        <w:tab/>
        <w:t>Les centres de collaboration ont indiqué avoir mis en œuvre plus de 350</w:t>
      </w:r>
      <w:r w:rsidR="00421E71">
        <w:rPr>
          <w:szCs w:val="22"/>
        </w:rPr>
        <w:t> </w:t>
      </w:r>
      <w:r w:rsidRPr="00C3317D">
        <w:rPr>
          <w:szCs w:val="22"/>
        </w:rPr>
        <w:t>initiatives de développement des capacités ciblant plus de 27</w:t>
      </w:r>
      <w:r w:rsidR="00BD4DD2">
        <w:rPr>
          <w:szCs w:val="22"/>
        </w:rPr>
        <w:t> </w:t>
      </w:r>
      <w:r w:rsidRPr="00C3317D">
        <w:rPr>
          <w:szCs w:val="22"/>
        </w:rPr>
        <w:t>000</w:t>
      </w:r>
      <w:r w:rsidR="00421E71">
        <w:rPr>
          <w:szCs w:val="22"/>
        </w:rPr>
        <w:t> </w:t>
      </w:r>
      <w:r w:rsidRPr="00C3317D">
        <w:rPr>
          <w:szCs w:val="22"/>
        </w:rPr>
        <w:t>bénéficiaires, dont 56</w:t>
      </w:r>
      <w:r w:rsidR="00421E71">
        <w:rPr>
          <w:szCs w:val="22"/>
        </w:rPr>
        <w:t> </w:t>
      </w:r>
      <w:r w:rsidRPr="00C3317D">
        <w:rPr>
          <w:szCs w:val="22"/>
        </w:rPr>
        <w:t>% de femmes et 28</w:t>
      </w:r>
      <w:r w:rsidR="00421E71">
        <w:rPr>
          <w:szCs w:val="22"/>
        </w:rPr>
        <w:t> </w:t>
      </w:r>
      <w:r w:rsidRPr="00C3317D">
        <w:rPr>
          <w:szCs w:val="22"/>
        </w:rPr>
        <w:t>% de jeunes spécialistes des océans</w:t>
      </w:r>
      <w:r w:rsidR="00A0637E">
        <w:rPr>
          <w:szCs w:val="22"/>
        </w:rPr>
        <w:t>,</w:t>
      </w:r>
      <w:r w:rsidR="00A0637E" w:rsidRPr="00A0637E">
        <w:rPr>
          <w:szCs w:val="22"/>
        </w:rPr>
        <w:t xml:space="preserve"> </w:t>
      </w:r>
      <w:r w:rsidR="00A0637E" w:rsidRPr="00C3317D">
        <w:rPr>
          <w:szCs w:val="22"/>
        </w:rPr>
        <w:t>depuis leur entrée en activité</w:t>
      </w:r>
      <w:r w:rsidRPr="00C3317D">
        <w:rPr>
          <w:szCs w:val="22"/>
        </w:rPr>
        <w:t xml:space="preserve"> au second semestre</w:t>
      </w:r>
      <w:r w:rsidR="00421E71">
        <w:rPr>
          <w:szCs w:val="22"/>
        </w:rPr>
        <w:t> </w:t>
      </w:r>
      <w:r w:rsidRPr="00C3317D">
        <w:rPr>
          <w:szCs w:val="22"/>
        </w:rPr>
        <w:t xml:space="preserve">2022. Ils ont également </w:t>
      </w:r>
      <w:r w:rsidR="00A0637E">
        <w:rPr>
          <w:szCs w:val="22"/>
        </w:rPr>
        <w:t>dit avoir</w:t>
      </w:r>
      <w:r w:rsidRPr="00C3317D">
        <w:rPr>
          <w:szCs w:val="22"/>
        </w:rPr>
        <w:t xml:space="preserve"> favorisé </w:t>
      </w:r>
      <w:r w:rsidR="009C605F" w:rsidRPr="009C605F">
        <w:rPr>
          <w:szCs w:val="22"/>
        </w:rPr>
        <w:t>l</w:t>
      </w:r>
      <w:r w:rsidR="009C605F">
        <w:rPr>
          <w:szCs w:val="22"/>
        </w:rPr>
        <w:t>’</w:t>
      </w:r>
      <w:r w:rsidR="009C605F" w:rsidRPr="009C605F">
        <w:rPr>
          <w:szCs w:val="22"/>
        </w:rPr>
        <w:t xml:space="preserve">élaboration </w:t>
      </w:r>
      <w:r w:rsidRPr="00C3317D">
        <w:rPr>
          <w:szCs w:val="22"/>
        </w:rPr>
        <w:t>de 13</w:t>
      </w:r>
      <w:r w:rsidR="00421E71">
        <w:rPr>
          <w:szCs w:val="22"/>
        </w:rPr>
        <w:t> </w:t>
      </w:r>
      <w:r w:rsidRPr="00C3317D">
        <w:rPr>
          <w:szCs w:val="22"/>
        </w:rPr>
        <w:t xml:space="preserve">nouvelles actions de la Décennie.  </w:t>
      </w:r>
    </w:p>
    <w:p w14:paraId="05664373" w14:textId="0E02DEB4" w:rsidR="00C3317D" w:rsidRPr="00C3317D" w:rsidRDefault="00C3317D" w:rsidP="00C3317D">
      <w:pPr>
        <w:pStyle w:val="Marge"/>
        <w:rPr>
          <w:szCs w:val="22"/>
        </w:rPr>
      </w:pPr>
      <w:r w:rsidRPr="00C3317D">
        <w:rPr>
          <w:szCs w:val="22"/>
        </w:rPr>
        <w:t>15.</w:t>
      </w:r>
      <w:r w:rsidRPr="00C3317D">
        <w:rPr>
          <w:szCs w:val="22"/>
        </w:rPr>
        <w:tab/>
        <w:t xml:space="preserve">Trente-quatre (34) comités nationaux de la Décennie ont été créés. Ils mettent en œuvre diverses initiatives </w:t>
      </w:r>
      <w:r w:rsidR="00767B01">
        <w:rPr>
          <w:szCs w:val="22"/>
        </w:rPr>
        <w:t>destinées</w:t>
      </w:r>
      <w:r w:rsidRPr="00C3317D">
        <w:rPr>
          <w:szCs w:val="22"/>
        </w:rPr>
        <w:t xml:space="preserve"> à susciter l</w:t>
      </w:r>
      <w:r>
        <w:rPr>
          <w:szCs w:val="22"/>
        </w:rPr>
        <w:t>’</w:t>
      </w:r>
      <w:r w:rsidRPr="00C3317D">
        <w:rPr>
          <w:szCs w:val="22"/>
        </w:rPr>
        <w:t>intérêt et</w:t>
      </w:r>
      <w:r w:rsidR="00D70881">
        <w:rPr>
          <w:szCs w:val="22"/>
        </w:rPr>
        <w:t xml:space="preserve"> à</w:t>
      </w:r>
      <w:r w:rsidRPr="00C3317D">
        <w:rPr>
          <w:szCs w:val="22"/>
        </w:rPr>
        <w:t xml:space="preserve"> mobiliser des ressources pour la Décennie au niveau </w:t>
      </w:r>
      <w:r w:rsidRPr="00D70881">
        <w:rPr>
          <w:szCs w:val="22"/>
        </w:rPr>
        <w:t>national, ainsi qu’à fournir une plate-forme pour exam</w:t>
      </w:r>
      <w:r w:rsidR="00D70881">
        <w:rPr>
          <w:szCs w:val="22"/>
        </w:rPr>
        <w:t>iner</w:t>
      </w:r>
      <w:r w:rsidRPr="00D70881">
        <w:rPr>
          <w:szCs w:val="22"/>
        </w:rPr>
        <w:t xml:space="preserve"> </w:t>
      </w:r>
      <w:r w:rsidR="00D70881">
        <w:rPr>
          <w:szCs w:val="22"/>
        </w:rPr>
        <w:t>l</w:t>
      </w:r>
      <w:r w:rsidRPr="00D70881">
        <w:rPr>
          <w:szCs w:val="22"/>
        </w:rPr>
        <w:t>es priorités nationales alignées sur la Décennie</w:t>
      </w:r>
      <w:r w:rsidRPr="00C3317D">
        <w:rPr>
          <w:szCs w:val="22"/>
        </w:rPr>
        <w:t>. La répartition géographique mondiale des comités nationaux de la Décennie présente d</w:t>
      </w:r>
      <w:r>
        <w:rPr>
          <w:szCs w:val="22"/>
        </w:rPr>
        <w:t>’</w:t>
      </w:r>
      <w:r w:rsidRPr="00C3317D">
        <w:rPr>
          <w:szCs w:val="22"/>
        </w:rPr>
        <w:t>importantes lacunes, en particulier dans les PEID. Sur les 34</w:t>
      </w:r>
      <w:r w:rsidR="00421E71">
        <w:rPr>
          <w:szCs w:val="22"/>
        </w:rPr>
        <w:t> </w:t>
      </w:r>
      <w:r w:rsidRPr="00C3317D">
        <w:rPr>
          <w:szCs w:val="22"/>
        </w:rPr>
        <w:t xml:space="preserve">comités </w:t>
      </w:r>
      <w:r w:rsidR="009C605F">
        <w:rPr>
          <w:szCs w:val="22"/>
        </w:rPr>
        <w:t>actuels</w:t>
      </w:r>
      <w:r w:rsidRPr="00C3317D">
        <w:rPr>
          <w:szCs w:val="22"/>
        </w:rPr>
        <w:t>, 14 ont communiqué un rapport au titre de la première mouture du cadre de suivi et d</w:t>
      </w:r>
      <w:r>
        <w:rPr>
          <w:szCs w:val="22"/>
        </w:rPr>
        <w:t>’</w:t>
      </w:r>
      <w:r w:rsidRPr="00C3317D">
        <w:rPr>
          <w:szCs w:val="22"/>
        </w:rPr>
        <w:t xml:space="preserve">évaluation. Ces comités </w:t>
      </w:r>
      <w:r w:rsidR="009C605F">
        <w:rPr>
          <w:szCs w:val="22"/>
        </w:rPr>
        <w:t>comptent</w:t>
      </w:r>
      <w:r w:rsidRPr="00C3317D">
        <w:rPr>
          <w:szCs w:val="22"/>
        </w:rPr>
        <w:t xml:space="preserve"> 597</w:t>
      </w:r>
      <w:r w:rsidR="00421E71">
        <w:rPr>
          <w:szCs w:val="22"/>
        </w:rPr>
        <w:t> </w:t>
      </w:r>
      <w:r w:rsidRPr="00C3317D">
        <w:rPr>
          <w:szCs w:val="22"/>
        </w:rPr>
        <w:t xml:space="preserve">membres en tout et </w:t>
      </w:r>
      <w:r w:rsidR="009C605F">
        <w:rPr>
          <w:szCs w:val="22"/>
        </w:rPr>
        <w:t>so</w:t>
      </w:r>
      <w:r w:rsidRPr="00C3317D">
        <w:rPr>
          <w:szCs w:val="22"/>
        </w:rPr>
        <w:t>nt</w:t>
      </w:r>
      <w:r w:rsidR="009C605F">
        <w:rPr>
          <w:szCs w:val="22"/>
        </w:rPr>
        <w:t xml:space="preserve"> </w:t>
      </w:r>
      <w:r w:rsidR="009C605F" w:rsidRPr="00C3317D">
        <w:rPr>
          <w:szCs w:val="22"/>
        </w:rPr>
        <w:t>en moyenne</w:t>
      </w:r>
      <w:r w:rsidR="009C605F">
        <w:rPr>
          <w:szCs w:val="22"/>
        </w:rPr>
        <w:t xml:space="preserve"> composés de</w:t>
      </w:r>
      <w:r w:rsidRPr="00C3317D">
        <w:rPr>
          <w:szCs w:val="22"/>
        </w:rPr>
        <w:t xml:space="preserve"> 42</w:t>
      </w:r>
      <w:r w:rsidR="00421E71">
        <w:rPr>
          <w:szCs w:val="22"/>
        </w:rPr>
        <w:t> </w:t>
      </w:r>
      <w:r w:rsidRPr="00C3317D">
        <w:rPr>
          <w:szCs w:val="22"/>
        </w:rPr>
        <w:t xml:space="preserve">membres. </w:t>
      </w:r>
      <w:r w:rsidR="009C605F">
        <w:rPr>
          <w:szCs w:val="22"/>
        </w:rPr>
        <w:t>Les</w:t>
      </w:r>
      <w:r w:rsidR="009C605F" w:rsidRPr="00C3317D">
        <w:rPr>
          <w:szCs w:val="22"/>
        </w:rPr>
        <w:t xml:space="preserve"> jeunes spécialistes des océans</w:t>
      </w:r>
      <w:r w:rsidR="009C605F">
        <w:rPr>
          <w:szCs w:val="22"/>
        </w:rPr>
        <w:t xml:space="preserve"> représentent</w:t>
      </w:r>
      <w:r w:rsidR="009C605F" w:rsidRPr="00C3317D">
        <w:rPr>
          <w:szCs w:val="22"/>
        </w:rPr>
        <w:t xml:space="preserve"> </w:t>
      </w:r>
      <w:r w:rsidRPr="00C3317D">
        <w:rPr>
          <w:szCs w:val="22"/>
        </w:rPr>
        <w:t>12</w:t>
      </w:r>
      <w:r w:rsidR="00421E71">
        <w:rPr>
          <w:szCs w:val="22"/>
        </w:rPr>
        <w:t> </w:t>
      </w:r>
      <w:r w:rsidRPr="00C3317D">
        <w:rPr>
          <w:szCs w:val="22"/>
        </w:rPr>
        <w:t xml:space="preserve">% des membres des comités et </w:t>
      </w:r>
      <w:r w:rsidR="009C605F">
        <w:rPr>
          <w:szCs w:val="22"/>
        </w:rPr>
        <w:t xml:space="preserve">les femmes </w:t>
      </w:r>
      <w:r w:rsidRPr="00C3317D">
        <w:rPr>
          <w:szCs w:val="22"/>
        </w:rPr>
        <w:t>36</w:t>
      </w:r>
      <w:r w:rsidR="00421E71">
        <w:rPr>
          <w:szCs w:val="22"/>
        </w:rPr>
        <w:t> </w:t>
      </w:r>
      <w:r w:rsidRPr="00C3317D">
        <w:rPr>
          <w:szCs w:val="22"/>
        </w:rPr>
        <w:t>%</w:t>
      </w:r>
      <w:r w:rsidR="009C605F">
        <w:rPr>
          <w:szCs w:val="22"/>
        </w:rPr>
        <w:t>,</w:t>
      </w:r>
      <w:r w:rsidR="009C605F" w:rsidRPr="009C605F">
        <w:rPr>
          <w:szCs w:val="22"/>
        </w:rPr>
        <w:t xml:space="preserve"> </w:t>
      </w:r>
      <w:r w:rsidR="009C605F">
        <w:rPr>
          <w:szCs w:val="22"/>
        </w:rPr>
        <w:t>e</w:t>
      </w:r>
      <w:r w:rsidR="009C605F" w:rsidRPr="00C3317D">
        <w:rPr>
          <w:szCs w:val="22"/>
        </w:rPr>
        <w:t>n moyenne</w:t>
      </w:r>
      <w:r w:rsidRPr="00C3317D">
        <w:rPr>
          <w:szCs w:val="22"/>
        </w:rPr>
        <w:t xml:space="preserve">. </w:t>
      </w:r>
      <w:r w:rsidR="009C605F">
        <w:rPr>
          <w:szCs w:val="22"/>
        </w:rPr>
        <w:t>En tout, l</w:t>
      </w:r>
      <w:r w:rsidRPr="00C3317D">
        <w:rPr>
          <w:szCs w:val="22"/>
        </w:rPr>
        <w:t>es comités ont déclaré avoir mené plus de 500</w:t>
      </w:r>
      <w:r w:rsidR="00421E71">
        <w:rPr>
          <w:szCs w:val="22"/>
        </w:rPr>
        <w:t> </w:t>
      </w:r>
      <w:r w:rsidRPr="00C3317D">
        <w:rPr>
          <w:szCs w:val="22"/>
        </w:rPr>
        <w:t>activités liées à la Décennie et ont estimé qu</w:t>
      </w:r>
      <w:r>
        <w:rPr>
          <w:szCs w:val="22"/>
        </w:rPr>
        <w:t>’</w:t>
      </w:r>
      <w:r w:rsidRPr="00C3317D">
        <w:rPr>
          <w:szCs w:val="22"/>
        </w:rPr>
        <w:t>elles avaient touché plus d</w:t>
      </w:r>
      <w:r>
        <w:rPr>
          <w:szCs w:val="22"/>
        </w:rPr>
        <w:t>’</w:t>
      </w:r>
      <w:r w:rsidRPr="00C3317D">
        <w:rPr>
          <w:szCs w:val="22"/>
        </w:rPr>
        <w:t xml:space="preserve">un million de personnes. Le document IOC/INF-1429 contient une publication récente élaborée en coopération avec les comités nationaux de la Décennie existants. </w:t>
      </w:r>
    </w:p>
    <w:p w14:paraId="3F3658D6" w14:textId="7B621F30" w:rsidR="00C3317D" w:rsidRPr="00C3317D" w:rsidRDefault="00C3317D" w:rsidP="00A029EA">
      <w:pPr>
        <w:pStyle w:val="Marge"/>
        <w:keepNext/>
        <w:keepLines/>
        <w:rPr>
          <w:szCs w:val="22"/>
        </w:rPr>
      </w:pPr>
      <w:r w:rsidRPr="00C3317D">
        <w:rPr>
          <w:szCs w:val="22"/>
        </w:rPr>
        <w:lastRenderedPageBreak/>
        <w:t>16.</w:t>
      </w:r>
      <w:r w:rsidRPr="00C3317D">
        <w:rPr>
          <w:szCs w:val="22"/>
        </w:rPr>
        <w:tab/>
        <w:t xml:space="preserve">Un groupe de coordination des données a été </w:t>
      </w:r>
      <w:r w:rsidR="005B69EF">
        <w:rPr>
          <w:szCs w:val="22"/>
        </w:rPr>
        <w:t>mis sur pied</w:t>
      </w:r>
      <w:r w:rsidRPr="00C3317D">
        <w:rPr>
          <w:szCs w:val="22"/>
        </w:rPr>
        <w:t xml:space="preserve"> en décembre 2021 pour soutenir l</w:t>
      </w:r>
      <w:r>
        <w:rPr>
          <w:szCs w:val="22"/>
        </w:rPr>
        <w:t>’</w:t>
      </w:r>
      <w:r w:rsidRPr="00C3317D">
        <w:rPr>
          <w:szCs w:val="22"/>
        </w:rPr>
        <w:t>élaboration et l</w:t>
      </w:r>
      <w:r>
        <w:rPr>
          <w:szCs w:val="22"/>
        </w:rPr>
        <w:t>’</w:t>
      </w:r>
      <w:r w:rsidRPr="00C3317D">
        <w:rPr>
          <w:szCs w:val="22"/>
        </w:rPr>
        <w:t>application de la stratégie de la Décennie en matière de données, d</w:t>
      </w:r>
      <w:r>
        <w:rPr>
          <w:szCs w:val="22"/>
        </w:rPr>
        <w:t>’</w:t>
      </w:r>
      <w:r w:rsidRPr="00C3317D">
        <w:rPr>
          <w:szCs w:val="22"/>
        </w:rPr>
        <w:t xml:space="preserve">informations et de connaissances. Le document IOC/INF-1427 présente la stratégie </w:t>
      </w:r>
      <w:r w:rsidR="005B69EF">
        <w:rPr>
          <w:szCs w:val="22"/>
        </w:rPr>
        <w:t>mise au poin</w:t>
      </w:r>
      <w:r w:rsidR="009C605F">
        <w:rPr>
          <w:szCs w:val="22"/>
        </w:rPr>
        <w:t>t</w:t>
      </w:r>
      <w:r w:rsidRPr="00C3317D">
        <w:rPr>
          <w:szCs w:val="22"/>
        </w:rPr>
        <w:t xml:space="preserve"> par ce groupe, qui guidera le développement de l</w:t>
      </w:r>
      <w:r>
        <w:rPr>
          <w:szCs w:val="22"/>
        </w:rPr>
        <w:t>’</w:t>
      </w:r>
      <w:r w:rsidRPr="00C3317D">
        <w:rPr>
          <w:szCs w:val="22"/>
        </w:rPr>
        <w:t xml:space="preserve">écosystème numérique interopérable envisagé dans le cadre de la Décennie. Un groupe sur les données du secteur privé a été </w:t>
      </w:r>
      <w:r w:rsidR="005B69EF">
        <w:rPr>
          <w:szCs w:val="22"/>
        </w:rPr>
        <w:t>créé</w:t>
      </w:r>
      <w:r w:rsidRPr="00C3317D">
        <w:rPr>
          <w:szCs w:val="22"/>
        </w:rPr>
        <w:t xml:space="preserve"> afin d</w:t>
      </w:r>
      <w:r>
        <w:rPr>
          <w:szCs w:val="22"/>
        </w:rPr>
        <w:t>’</w:t>
      </w:r>
      <w:r w:rsidRPr="00C3317D">
        <w:rPr>
          <w:szCs w:val="22"/>
        </w:rPr>
        <w:t xml:space="preserve">étudier et de concevoir des actions </w:t>
      </w:r>
      <w:r w:rsidR="00367DB0">
        <w:rPr>
          <w:szCs w:val="22"/>
        </w:rPr>
        <w:t>visant</w:t>
      </w:r>
      <w:r w:rsidRPr="00C3317D">
        <w:rPr>
          <w:szCs w:val="22"/>
        </w:rPr>
        <w:t xml:space="preserve"> à faciliter le partage de données entre le secteur privé et la communauté scientifique. Le groupe de communication stratégique a été reconduit et comprend 25</w:t>
      </w:r>
      <w:r w:rsidR="00421E71">
        <w:rPr>
          <w:szCs w:val="22"/>
        </w:rPr>
        <w:t> </w:t>
      </w:r>
      <w:r w:rsidRPr="00C3317D">
        <w:rPr>
          <w:szCs w:val="22"/>
        </w:rPr>
        <w:t>experts en communication qui conseillent l</w:t>
      </w:r>
      <w:r>
        <w:rPr>
          <w:szCs w:val="22"/>
        </w:rPr>
        <w:t>’</w:t>
      </w:r>
      <w:r w:rsidRPr="00C3317D">
        <w:rPr>
          <w:szCs w:val="22"/>
        </w:rPr>
        <w:t xml:space="preserve">Unité de coordination de la Décennie sur les outils et approches en </w:t>
      </w:r>
      <w:r w:rsidR="00367DB0">
        <w:rPr>
          <w:szCs w:val="22"/>
        </w:rPr>
        <w:t xml:space="preserve">la </w:t>
      </w:r>
      <w:r w:rsidRPr="00C3317D">
        <w:rPr>
          <w:szCs w:val="22"/>
        </w:rPr>
        <w:t xml:space="preserve">matière. </w:t>
      </w:r>
      <w:r w:rsidR="009C605F">
        <w:rPr>
          <w:szCs w:val="22"/>
        </w:rPr>
        <w:t>Une</w:t>
      </w:r>
      <w:r w:rsidRPr="00C3317D">
        <w:rPr>
          <w:szCs w:val="22"/>
        </w:rPr>
        <w:t xml:space="preserve"> liste d</w:t>
      </w:r>
      <w:r>
        <w:rPr>
          <w:szCs w:val="22"/>
        </w:rPr>
        <w:t>’</w:t>
      </w:r>
      <w:r w:rsidRPr="00C3317D">
        <w:rPr>
          <w:szCs w:val="22"/>
        </w:rPr>
        <w:t>experts de la Décennie de l</w:t>
      </w:r>
      <w:r>
        <w:rPr>
          <w:szCs w:val="22"/>
        </w:rPr>
        <w:t>’</w:t>
      </w:r>
      <w:r w:rsidRPr="00C3317D">
        <w:rPr>
          <w:szCs w:val="22"/>
        </w:rPr>
        <w:t>Océan, qui compte plus de 220</w:t>
      </w:r>
      <w:r w:rsidR="00421E71">
        <w:rPr>
          <w:szCs w:val="22"/>
        </w:rPr>
        <w:t> </w:t>
      </w:r>
      <w:r w:rsidRPr="00C3317D">
        <w:rPr>
          <w:szCs w:val="22"/>
        </w:rPr>
        <w:t>membres, a été établie afin de disposer d</w:t>
      </w:r>
      <w:r>
        <w:rPr>
          <w:szCs w:val="22"/>
        </w:rPr>
        <w:t>’</w:t>
      </w:r>
      <w:r w:rsidRPr="00C3317D">
        <w:rPr>
          <w:szCs w:val="22"/>
        </w:rPr>
        <w:t>un vivier d</w:t>
      </w:r>
      <w:r>
        <w:rPr>
          <w:szCs w:val="22"/>
        </w:rPr>
        <w:t>’</w:t>
      </w:r>
      <w:r w:rsidRPr="00C3317D">
        <w:rPr>
          <w:szCs w:val="22"/>
        </w:rPr>
        <w:t xml:space="preserve">experts qui aideront le Secrétariat de la COI à </w:t>
      </w:r>
      <w:r w:rsidR="005B69EF">
        <w:rPr>
          <w:szCs w:val="22"/>
        </w:rPr>
        <w:t>définir</w:t>
      </w:r>
      <w:r w:rsidRPr="00C3317D">
        <w:rPr>
          <w:szCs w:val="22"/>
        </w:rPr>
        <w:t xml:space="preserve"> les cibles stratégiques des défis de la Décennie de l</w:t>
      </w:r>
      <w:r>
        <w:rPr>
          <w:szCs w:val="22"/>
        </w:rPr>
        <w:t>’</w:t>
      </w:r>
      <w:r w:rsidRPr="00C3317D">
        <w:rPr>
          <w:szCs w:val="22"/>
        </w:rPr>
        <w:t>Océan, à examiner les propositions de programmes de la Décennie et à mener les processus d</w:t>
      </w:r>
      <w:r>
        <w:rPr>
          <w:szCs w:val="22"/>
        </w:rPr>
        <w:t>’</w:t>
      </w:r>
      <w:r w:rsidRPr="00C3317D">
        <w:rPr>
          <w:szCs w:val="22"/>
        </w:rPr>
        <w:t xml:space="preserve">examen périodiques de la Décennie. </w:t>
      </w:r>
    </w:p>
    <w:p w14:paraId="22FADD37" w14:textId="77777777" w:rsidR="00C3317D" w:rsidRPr="00C3317D" w:rsidRDefault="00C3317D" w:rsidP="00C3317D">
      <w:pPr>
        <w:pStyle w:val="Marge"/>
        <w:rPr>
          <w:b/>
          <w:bCs/>
          <w:szCs w:val="22"/>
        </w:rPr>
      </w:pPr>
      <w:r w:rsidRPr="00C3317D">
        <w:rPr>
          <w:b/>
          <w:bCs/>
          <w:szCs w:val="22"/>
        </w:rPr>
        <w:t xml:space="preserve">Mobilisation de ressources </w:t>
      </w:r>
    </w:p>
    <w:p w14:paraId="0D0547CC" w14:textId="49C74FE0" w:rsidR="00C3317D" w:rsidRPr="00C3317D" w:rsidRDefault="00C3317D" w:rsidP="00C3317D">
      <w:pPr>
        <w:pStyle w:val="Marge"/>
        <w:rPr>
          <w:szCs w:val="22"/>
        </w:rPr>
      </w:pPr>
      <w:r w:rsidRPr="00C3317D">
        <w:rPr>
          <w:szCs w:val="22"/>
        </w:rPr>
        <w:t>17.</w:t>
      </w:r>
      <w:r w:rsidRPr="00C3317D">
        <w:rPr>
          <w:szCs w:val="22"/>
        </w:rPr>
        <w:tab/>
        <w:t xml:space="preserve">Les États membres et organisations suivants ont versé des contributions financières ou en nature spécifiques </w:t>
      </w:r>
      <w:r w:rsidR="00B7042B">
        <w:rPr>
          <w:szCs w:val="22"/>
        </w:rPr>
        <w:t>à l’appui d</w:t>
      </w:r>
      <w:r w:rsidRPr="00C3317D">
        <w:rPr>
          <w:szCs w:val="22"/>
        </w:rPr>
        <w:t>es activités de coordination de la Décennie au cours de la période considérée</w:t>
      </w:r>
      <w:r w:rsidR="00421E71">
        <w:rPr>
          <w:szCs w:val="22"/>
        </w:rPr>
        <w:t> </w:t>
      </w:r>
      <w:r w:rsidRPr="00C3317D">
        <w:rPr>
          <w:szCs w:val="22"/>
        </w:rPr>
        <w:t xml:space="preserve">: la Belgique (Gouvernement de la Flandre), le Canada, le Conseil norvégien de la recherche, la France, </w:t>
      </w:r>
      <w:proofErr w:type="spellStart"/>
      <w:r w:rsidRPr="00C3317D">
        <w:rPr>
          <w:szCs w:val="22"/>
        </w:rPr>
        <w:t>Fugro</w:t>
      </w:r>
      <w:proofErr w:type="spellEnd"/>
      <w:r w:rsidRPr="00C3317D">
        <w:rPr>
          <w:szCs w:val="22"/>
        </w:rPr>
        <w:t>, le Japon, la Norvège, le Portugal, la République de Corée, REV-</w:t>
      </w:r>
      <w:proofErr w:type="spellStart"/>
      <w:r w:rsidRPr="00C3317D">
        <w:rPr>
          <w:szCs w:val="22"/>
        </w:rPr>
        <w:t>Ocean</w:t>
      </w:r>
      <w:proofErr w:type="spellEnd"/>
      <w:r w:rsidRPr="00C3317D">
        <w:rPr>
          <w:szCs w:val="22"/>
        </w:rPr>
        <w:t xml:space="preserve"> et la Suède.</w:t>
      </w:r>
    </w:p>
    <w:p w14:paraId="1EA01528" w14:textId="44A326E9" w:rsidR="00C3317D" w:rsidRPr="00C3317D" w:rsidRDefault="00C3317D" w:rsidP="00C3317D">
      <w:pPr>
        <w:pStyle w:val="Marge"/>
        <w:rPr>
          <w:szCs w:val="22"/>
        </w:rPr>
      </w:pPr>
      <w:r w:rsidRPr="00C3317D">
        <w:rPr>
          <w:szCs w:val="22"/>
        </w:rPr>
        <w:t>18.</w:t>
      </w:r>
      <w:r w:rsidRPr="00C3317D">
        <w:rPr>
          <w:szCs w:val="22"/>
        </w:rPr>
        <w:tab/>
        <w:t>La mobilisation de ressources en nature et financières reste un enjeu majeur pour la réussite de la mise en œuvre de la Décennie. Des ressources sont nécessaires pour financer les coûts de coordination aux niveaux central (l</w:t>
      </w:r>
      <w:r>
        <w:rPr>
          <w:szCs w:val="22"/>
        </w:rPr>
        <w:t>’</w:t>
      </w:r>
      <w:r w:rsidRPr="00C3317D">
        <w:rPr>
          <w:szCs w:val="22"/>
        </w:rPr>
        <w:t>Unité de coordination de la Décennie) et décentralisé (notamment les bureaux de coordination de la Décennie dirigés par la COI) ainsi que les actions de la Décennie, qu</w:t>
      </w:r>
      <w:r>
        <w:rPr>
          <w:szCs w:val="22"/>
        </w:rPr>
        <w:t>’</w:t>
      </w:r>
      <w:r w:rsidRPr="00C3317D">
        <w:rPr>
          <w:szCs w:val="22"/>
        </w:rPr>
        <w:t>il s</w:t>
      </w:r>
      <w:r>
        <w:rPr>
          <w:szCs w:val="22"/>
        </w:rPr>
        <w:t>’</w:t>
      </w:r>
      <w:r w:rsidRPr="00C3317D">
        <w:rPr>
          <w:szCs w:val="22"/>
        </w:rPr>
        <w:t>agisse des actions approuvées ou à venir. D</w:t>
      </w:r>
      <w:r>
        <w:rPr>
          <w:szCs w:val="22"/>
        </w:rPr>
        <w:t>’</w:t>
      </w:r>
      <w:r w:rsidRPr="00C3317D">
        <w:rPr>
          <w:szCs w:val="22"/>
        </w:rPr>
        <w:t>après les données communiquées par les 23</w:t>
      </w:r>
      <w:r w:rsidR="00421E71">
        <w:rPr>
          <w:szCs w:val="22"/>
        </w:rPr>
        <w:t> </w:t>
      </w:r>
      <w:r w:rsidRPr="00C3317D">
        <w:rPr>
          <w:szCs w:val="22"/>
        </w:rPr>
        <w:t>programmes de la Décennie au titre du cadre de suivi et d</w:t>
      </w:r>
      <w:r>
        <w:rPr>
          <w:szCs w:val="22"/>
        </w:rPr>
        <w:t>’</w:t>
      </w:r>
      <w:r w:rsidRPr="00C3317D">
        <w:rPr>
          <w:szCs w:val="22"/>
        </w:rPr>
        <w:t>évaluation, environ 37</w:t>
      </w:r>
      <w:r w:rsidR="00421E71">
        <w:rPr>
          <w:szCs w:val="22"/>
        </w:rPr>
        <w:t> </w:t>
      </w:r>
      <w:r w:rsidRPr="00C3317D">
        <w:rPr>
          <w:szCs w:val="22"/>
        </w:rPr>
        <w:t>millions de dollars des États-Unis (couvrant environ 20</w:t>
      </w:r>
      <w:r w:rsidR="00421E71">
        <w:rPr>
          <w:szCs w:val="22"/>
        </w:rPr>
        <w:t> </w:t>
      </w:r>
      <w:r w:rsidRPr="00C3317D">
        <w:rPr>
          <w:szCs w:val="22"/>
        </w:rPr>
        <w:t>% des besoins) ont été obtenus pour les 12</w:t>
      </w:r>
      <w:r w:rsidR="00421E71">
        <w:rPr>
          <w:szCs w:val="22"/>
        </w:rPr>
        <w:t> </w:t>
      </w:r>
      <w:r w:rsidR="00B7042B" w:rsidRPr="00C3317D">
        <w:rPr>
          <w:szCs w:val="22"/>
        </w:rPr>
        <w:t xml:space="preserve">prochains </w:t>
      </w:r>
      <w:r w:rsidRPr="00C3317D">
        <w:rPr>
          <w:szCs w:val="22"/>
        </w:rPr>
        <w:t xml:space="preserve">mois, alors que le montant </w:t>
      </w:r>
      <w:r w:rsidR="00B7042B" w:rsidRPr="00B7042B">
        <w:rPr>
          <w:szCs w:val="22"/>
        </w:rPr>
        <w:t xml:space="preserve">requis pour </w:t>
      </w:r>
      <w:r w:rsidR="00B7042B">
        <w:rPr>
          <w:szCs w:val="22"/>
        </w:rPr>
        <w:t xml:space="preserve">assurer </w:t>
      </w:r>
      <w:r w:rsidR="00B7042B" w:rsidRPr="00C3317D">
        <w:rPr>
          <w:szCs w:val="22"/>
        </w:rPr>
        <w:t xml:space="preserve">une </w:t>
      </w:r>
      <w:r w:rsidR="00B7042B" w:rsidRPr="00B7042B">
        <w:rPr>
          <w:szCs w:val="22"/>
        </w:rPr>
        <w:t xml:space="preserve">mise en œuvre pleine et entière </w:t>
      </w:r>
      <w:r w:rsidRPr="00C3317D">
        <w:rPr>
          <w:szCs w:val="22"/>
        </w:rPr>
        <w:t>au cours de</w:t>
      </w:r>
      <w:r w:rsidR="00B7042B">
        <w:rPr>
          <w:szCs w:val="22"/>
        </w:rPr>
        <w:t xml:space="preserve"> l’année</w:t>
      </w:r>
      <w:r w:rsidRPr="00C3317D">
        <w:rPr>
          <w:szCs w:val="22"/>
        </w:rPr>
        <w:t xml:space="preserve"> </w:t>
      </w:r>
      <w:r w:rsidR="00B7042B" w:rsidRPr="00C3317D">
        <w:rPr>
          <w:szCs w:val="22"/>
        </w:rPr>
        <w:t>à venir</w:t>
      </w:r>
      <w:r w:rsidR="00B7042B">
        <w:rPr>
          <w:szCs w:val="22"/>
        </w:rPr>
        <w:t xml:space="preserve"> </w:t>
      </w:r>
      <w:r w:rsidRPr="00C3317D">
        <w:rPr>
          <w:szCs w:val="22"/>
        </w:rPr>
        <w:t>s</w:t>
      </w:r>
      <w:r>
        <w:rPr>
          <w:szCs w:val="22"/>
        </w:rPr>
        <w:t>’</w:t>
      </w:r>
      <w:r w:rsidRPr="00C3317D">
        <w:rPr>
          <w:szCs w:val="22"/>
        </w:rPr>
        <w:t>élève à 188</w:t>
      </w:r>
      <w:r w:rsidR="00421E71">
        <w:rPr>
          <w:szCs w:val="22"/>
        </w:rPr>
        <w:t> </w:t>
      </w:r>
      <w:r w:rsidRPr="00C3317D">
        <w:rPr>
          <w:szCs w:val="22"/>
        </w:rPr>
        <w:t>millions</w:t>
      </w:r>
      <w:r w:rsidR="00B7042B">
        <w:rPr>
          <w:szCs w:val="22"/>
        </w:rPr>
        <w:t xml:space="preserve"> de</w:t>
      </w:r>
      <w:r w:rsidRPr="00C3317D">
        <w:rPr>
          <w:szCs w:val="22"/>
        </w:rPr>
        <w:t xml:space="preserve"> dollars. Les structures de coordination décentralisées ont indiqué avoir favorisé la mobilisation de contributions financières et en nature pour un montant approximatif de 11</w:t>
      </w:r>
      <w:r w:rsidR="00421E71">
        <w:rPr>
          <w:szCs w:val="22"/>
        </w:rPr>
        <w:t> </w:t>
      </w:r>
      <w:r w:rsidRPr="00C3317D">
        <w:rPr>
          <w:szCs w:val="22"/>
        </w:rPr>
        <w:t xml:space="preserve">millions de dollars </w:t>
      </w:r>
      <w:r w:rsidR="00B7042B">
        <w:rPr>
          <w:szCs w:val="22"/>
        </w:rPr>
        <w:t>en 2022</w:t>
      </w:r>
      <w:r w:rsidRPr="00C3317D">
        <w:rPr>
          <w:szCs w:val="22"/>
        </w:rPr>
        <w:t xml:space="preserve">. </w:t>
      </w:r>
    </w:p>
    <w:p w14:paraId="7E587446" w14:textId="74FBB9B8" w:rsidR="00C3317D" w:rsidRPr="00C3317D" w:rsidRDefault="00C3317D" w:rsidP="00C3317D">
      <w:pPr>
        <w:pStyle w:val="Marge"/>
        <w:rPr>
          <w:szCs w:val="22"/>
        </w:rPr>
      </w:pPr>
      <w:r w:rsidRPr="00C3317D">
        <w:rPr>
          <w:szCs w:val="22"/>
        </w:rPr>
        <w:t>19.</w:t>
      </w:r>
      <w:r w:rsidRPr="00C3317D">
        <w:rPr>
          <w:szCs w:val="22"/>
        </w:rPr>
        <w:tab/>
        <w:t>L</w:t>
      </w:r>
      <w:r>
        <w:rPr>
          <w:szCs w:val="22"/>
        </w:rPr>
        <w:t>’</w:t>
      </w:r>
      <w:r w:rsidRPr="00C3317D">
        <w:rPr>
          <w:szCs w:val="22"/>
        </w:rPr>
        <w:t>Alliance pour la Décennie de l</w:t>
      </w:r>
      <w:r>
        <w:rPr>
          <w:szCs w:val="22"/>
        </w:rPr>
        <w:t>’</w:t>
      </w:r>
      <w:r w:rsidRPr="00C3317D">
        <w:rPr>
          <w:szCs w:val="22"/>
        </w:rPr>
        <w:t>Océan s</w:t>
      </w:r>
      <w:r>
        <w:rPr>
          <w:szCs w:val="22"/>
        </w:rPr>
        <w:t>’</w:t>
      </w:r>
      <w:r w:rsidRPr="00C3317D">
        <w:rPr>
          <w:szCs w:val="22"/>
        </w:rPr>
        <w:t xml:space="preserve">est développée au cours de </w:t>
      </w:r>
      <w:r w:rsidR="00297D4A">
        <w:rPr>
          <w:szCs w:val="22"/>
        </w:rPr>
        <w:t>la</w:t>
      </w:r>
      <w:r w:rsidRPr="00C3317D">
        <w:rPr>
          <w:szCs w:val="22"/>
        </w:rPr>
        <w:t xml:space="preserve"> période </w:t>
      </w:r>
      <w:r w:rsidR="00297D4A">
        <w:rPr>
          <w:szCs w:val="22"/>
        </w:rPr>
        <w:t xml:space="preserve">considérée </w:t>
      </w:r>
      <w:r w:rsidRPr="00C3317D">
        <w:rPr>
          <w:szCs w:val="22"/>
        </w:rPr>
        <w:t xml:space="preserve">et compte désormais </w:t>
      </w:r>
      <w:r w:rsidR="00BE7D3B">
        <w:rPr>
          <w:szCs w:val="22"/>
        </w:rPr>
        <w:t>10</w:t>
      </w:r>
      <w:r w:rsidRPr="00C3317D">
        <w:rPr>
          <w:szCs w:val="22"/>
        </w:rPr>
        <w:t xml:space="preserve"> mécènes et 18</w:t>
      </w:r>
      <w:r w:rsidR="00421E71">
        <w:rPr>
          <w:szCs w:val="22"/>
        </w:rPr>
        <w:t> </w:t>
      </w:r>
      <w:r w:rsidRPr="00C3317D">
        <w:rPr>
          <w:szCs w:val="22"/>
        </w:rPr>
        <w:t xml:space="preserve">membres institutionnels. Ses membres se sont fortement investis dans </w:t>
      </w:r>
      <w:r w:rsidR="00491E44">
        <w:rPr>
          <w:szCs w:val="22"/>
        </w:rPr>
        <w:t>l</w:t>
      </w:r>
      <w:r w:rsidRPr="00C3317D">
        <w:rPr>
          <w:szCs w:val="22"/>
        </w:rPr>
        <w:t>es manifestations de haut niveau et dans l</w:t>
      </w:r>
      <w:r>
        <w:rPr>
          <w:szCs w:val="22"/>
        </w:rPr>
        <w:t>’</w:t>
      </w:r>
      <w:r w:rsidRPr="00C3317D">
        <w:rPr>
          <w:szCs w:val="22"/>
        </w:rPr>
        <w:t>amélioration de la visibilité de la Décennie de l</w:t>
      </w:r>
      <w:r>
        <w:rPr>
          <w:szCs w:val="22"/>
        </w:rPr>
        <w:t>’</w:t>
      </w:r>
      <w:r w:rsidRPr="00C3317D">
        <w:rPr>
          <w:szCs w:val="22"/>
        </w:rPr>
        <w:t>Océan auprès de ceux qu</w:t>
      </w:r>
      <w:r>
        <w:rPr>
          <w:szCs w:val="22"/>
        </w:rPr>
        <w:t>’</w:t>
      </w:r>
      <w:r w:rsidRPr="00C3317D">
        <w:rPr>
          <w:szCs w:val="22"/>
        </w:rPr>
        <w:t>ils représentent. Des efforts continuent d</w:t>
      </w:r>
      <w:r>
        <w:rPr>
          <w:szCs w:val="22"/>
        </w:rPr>
        <w:t>’</w:t>
      </w:r>
      <w:r w:rsidRPr="00C3317D">
        <w:rPr>
          <w:szCs w:val="22"/>
        </w:rPr>
        <w:t>être déployés pour collaborer avec les membres de l</w:t>
      </w:r>
      <w:r>
        <w:rPr>
          <w:szCs w:val="22"/>
        </w:rPr>
        <w:t>’</w:t>
      </w:r>
      <w:r w:rsidRPr="00C3317D">
        <w:rPr>
          <w:szCs w:val="22"/>
        </w:rPr>
        <w:t>Alliance en vue de mettre en place des initiatives conjointes de financement ou de soutien au profit de la Décennie. Des appels à l</w:t>
      </w:r>
      <w:r>
        <w:rPr>
          <w:szCs w:val="22"/>
        </w:rPr>
        <w:t>’</w:t>
      </w:r>
      <w:r w:rsidRPr="00C3317D">
        <w:rPr>
          <w:szCs w:val="22"/>
        </w:rPr>
        <w:t>action parrainés ont fait l</w:t>
      </w:r>
      <w:r>
        <w:rPr>
          <w:szCs w:val="22"/>
        </w:rPr>
        <w:t>’</w:t>
      </w:r>
      <w:r w:rsidRPr="00C3317D">
        <w:rPr>
          <w:szCs w:val="22"/>
        </w:rPr>
        <w:t>objet d</w:t>
      </w:r>
      <w:r>
        <w:rPr>
          <w:szCs w:val="22"/>
        </w:rPr>
        <w:t>’</w:t>
      </w:r>
      <w:r w:rsidRPr="00C3317D">
        <w:rPr>
          <w:szCs w:val="22"/>
        </w:rPr>
        <w:t>accords avec le Fonds de recherche AXA, l</w:t>
      </w:r>
      <w:r>
        <w:rPr>
          <w:szCs w:val="22"/>
        </w:rPr>
        <w:t>’</w:t>
      </w:r>
      <w:r w:rsidRPr="00C3317D">
        <w:rPr>
          <w:szCs w:val="22"/>
        </w:rPr>
        <w:t xml:space="preserve">initiative </w:t>
      </w:r>
      <w:proofErr w:type="spellStart"/>
      <w:r w:rsidRPr="00C3317D">
        <w:rPr>
          <w:szCs w:val="22"/>
        </w:rPr>
        <w:t>MeerWissen</w:t>
      </w:r>
      <w:proofErr w:type="spellEnd"/>
      <w:r w:rsidRPr="00C3317D">
        <w:rPr>
          <w:szCs w:val="22"/>
        </w:rPr>
        <w:t xml:space="preserve">, JPI </w:t>
      </w:r>
      <w:proofErr w:type="spellStart"/>
      <w:r w:rsidRPr="00C3317D">
        <w:rPr>
          <w:szCs w:val="22"/>
        </w:rPr>
        <w:t>Oceans</w:t>
      </w:r>
      <w:proofErr w:type="spellEnd"/>
      <w:r w:rsidRPr="00C3317D">
        <w:rPr>
          <w:szCs w:val="22"/>
        </w:rPr>
        <w:t xml:space="preserve"> et des organismes de financement nationaux du Canada et de la Norvège. Des discussions sont en cours avec d</w:t>
      </w:r>
      <w:r>
        <w:rPr>
          <w:szCs w:val="22"/>
        </w:rPr>
        <w:t>’</w:t>
      </w:r>
      <w:r w:rsidRPr="00C3317D">
        <w:rPr>
          <w:szCs w:val="22"/>
        </w:rPr>
        <w:t xml:space="preserve">autres partenaires pour reproduire et développer ce modèle. </w:t>
      </w:r>
    </w:p>
    <w:p w14:paraId="22718BFB" w14:textId="1AFEDE33" w:rsidR="00C3317D" w:rsidRPr="00C3317D" w:rsidRDefault="00C3317D" w:rsidP="00C3317D">
      <w:pPr>
        <w:pStyle w:val="Marge"/>
        <w:rPr>
          <w:szCs w:val="22"/>
        </w:rPr>
      </w:pPr>
      <w:r w:rsidRPr="00C3317D">
        <w:rPr>
          <w:szCs w:val="22"/>
        </w:rPr>
        <w:t>20.</w:t>
      </w:r>
      <w:r w:rsidRPr="00C3317D">
        <w:rPr>
          <w:szCs w:val="22"/>
        </w:rPr>
        <w:tab/>
        <w:t>D</w:t>
      </w:r>
      <w:r>
        <w:rPr>
          <w:szCs w:val="22"/>
        </w:rPr>
        <w:t>’</w:t>
      </w:r>
      <w:r w:rsidRPr="00C3317D">
        <w:rPr>
          <w:szCs w:val="22"/>
        </w:rPr>
        <w:t>importants efforts ont été consentis pour mobiliser des fondations philanthropiques</w:t>
      </w:r>
      <w:r w:rsidR="00297D4A" w:rsidRPr="00297D4A">
        <w:rPr>
          <w:szCs w:val="22"/>
        </w:rPr>
        <w:t xml:space="preserve"> </w:t>
      </w:r>
      <w:r w:rsidR="00297D4A" w:rsidRPr="00C3317D">
        <w:rPr>
          <w:szCs w:val="22"/>
        </w:rPr>
        <w:t>au cours de la période considérée</w:t>
      </w:r>
      <w:r w:rsidRPr="00C3317D">
        <w:rPr>
          <w:szCs w:val="22"/>
        </w:rPr>
        <w:t>. Une réunion en présentiel du Dialogue avec les fondations a été organisée du 1</w:t>
      </w:r>
      <w:r w:rsidRPr="00C3317D">
        <w:rPr>
          <w:szCs w:val="22"/>
          <w:vertAlign w:val="superscript"/>
        </w:rPr>
        <w:t>er</w:t>
      </w:r>
      <w:r>
        <w:rPr>
          <w:szCs w:val="22"/>
        </w:rPr>
        <w:t xml:space="preserve"> </w:t>
      </w:r>
      <w:r w:rsidRPr="00C3317D">
        <w:rPr>
          <w:szCs w:val="22"/>
        </w:rPr>
        <w:t>au 3</w:t>
      </w:r>
      <w:r w:rsidR="00421E71">
        <w:rPr>
          <w:szCs w:val="22"/>
        </w:rPr>
        <w:t> </w:t>
      </w:r>
      <w:r w:rsidRPr="00C3317D">
        <w:rPr>
          <w:szCs w:val="22"/>
        </w:rPr>
        <w:t>juin 2022 à Rabat (Maroc), à la Fondation Mohamed</w:t>
      </w:r>
      <w:r w:rsidR="00421E71">
        <w:rPr>
          <w:szCs w:val="22"/>
        </w:rPr>
        <w:t> </w:t>
      </w:r>
      <w:r w:rsidRPr="00C3317D">
        <w:rPr>
          <w:szCs w:val="22"/>
        </w:rPr>
        <w:t>VI pour la protection de l</w:t>
      </w:r>
      <w:r>
        <w:rPr>
          <w:szCs w:val="22"/>
        </w:rPr>
        <w:t>’</w:t>
      </w:r>
      <w:r w:rsidRPr="00C3317D">
        <w:rPr>
          <w:szCs w:val="22"/>
        </w:rPr>
        <w:t xml:space="preserve">environnement, </w:t>
      </w:r>
      <w:r w:rsidR="008561DD">
        <w:rPr>
          <w:szCs w:val="22"/>
        </w:rPr>
        <w:t xml:space="preserve">et a </w:t>
      </w:r>
      <w:r w:rsidRPr="00C3317D">
        <w:rPr>
          <w:szCs w:val="22"/>
        </w:rPr>
        <w:t>débouch</w:t>
      </w:r>
      <w:r w:rsidR="008561DD">
        <w:rPr>
          <w:szCs w:val="22"/>
        </w:rPr>
        <w:t>é</w:t>
      </w:r>
      <w:r w:rsidRPr="00C3317D">
        <w:rPr>
          <w:szCs w:val="22"/>
        </w:rPr>
        <w:t xml:space="preserve"> sur la mise en place de nouveaux partenariats et initiatives de </w:t>
      </w:r>
      <w:proofErr w:type="spellStart"/>
      <w:r w:rsidRPr="00C3317D">
        <w:rPr>
          <w:szCs w:val="22"/>
        </w:rPr>
        <w:t>co</w:t>
      </w:r>
      <w:r w:rsidR="00BE7D3B">
        <w:rPr>
          <w:szCs w:val="22"/>
        </w:rPr>
        <w:noBreakHyphen/>
      </w:r>
      <w:r w:rsidRPr="00C3317D">
        <w:rPr>
          <w:szCs w:val="22"/>
        </w:rPr>
        <w:t>conception</w:t>
      </w:r>
      <w:proofErr w:type="spellEnd"/>
      <w:r w:rsidRPr="00C3317D">
        <w:rPr>
          <w:szCs w:val="22"/>
        </w:rPr>
        <w:t>, de communication stratégique et de développement des capacités. La prochaine édition du Dialogue avec les fondations rassemblera plus de 30</w:t>
      </w:r>
      <w:r w:rsidR="00421E71">
        <w:rPr>
          <w:szCs w:val="22"/>
        </w:rPr>
        <w:t> </w:t>
      </w:r>
      <w:r w:rsidRPr="00C3317D">
        <w:rPr>
          <w:szCs w:val="22"/>
        </w:rPr>
        <w:t>fondations philanthropiques à Monaco en juin 2023, et sera organisée par la Fondation Prince Albert</w:t>
      </w:r>
      <w:r w:rsidR="00421E71">
        <w:rPr>
          <w:szCs w:val="22"/>
        </w:rPr>
        <w:t> </w:t>
      </w:r>
      <w:r w:rsidRPr="00C3317D">
        <w:rPr>
          <w:szCs w:val="22"/>
        </w:rPr>
        <w:t>II de Monaco.</w:t>
      </w:r>
    </w:p>
    <w:p w14:paraId="7913DB0C" w14:textId="245A63C6" w:rsidR="00C3317D" w:rsidRPr="00C3317D" w:rsidRDefault="00C3317D" w:rsidP="00C3317D">
      <w:pPr>
        <w:pStyle w:val="Marge"/>
        <w:rPr>
          <w:szCs w:val="22"/>
        </w:rPr>
      </w:pPr>
      <w:r w:rsidRPr="00C3317D">
        <w:rPr>
          <w:szCs w:val="22"/>
        </w:rPr>
        <w:t>21.</w:t>
      </w:r>
      <w:r w:rsidRPr="00C3317D">
        <w:rPr>
          <w:szCs w:val="22"/>
        </w:rPr>
        <w:tab/>
        <w:t xml:space="preserve">Les détachements et prêts de personnel accordés par la France, le Japon et </w:t>
      </w:r>
      <w:proofErr w:type="spellStart"/>
      <w:r w:rsidRPr="00C3317D">
        <w:rPr>
          <w:szCs w:val="22"/>
        </w:rPr>
        <w:t>Fugro</w:t>
      </w:r>
      <w:proofErr w:type="spellEnd"/>
      <w:r w:rsidRPr="00C3317D">
        <w:rPr>
          <w:szCs w:val="22"/>
        </w:rPr>
        <w:t xml:space="preserve"> (partenaire du secteur privé) apportent un soutien inestimable à la coordination de la Décennie. Une équipe spéciale </w:t>
      </w:r>
      <w:r w:rsidR="00297D4A">
        <w:rPr>
          <w:szCs w:val="22"/>
        </w:rPr>
        <w:t>sur le</w:t>
      </w:r>
      <w:r w:rsidRPr="00C3317D">
        <w:rPr>
          <w:szCs w:val="22"/>
        </w:rPr>
        <w:t xml:space="preserve"> secteur privé a été créé</w:t>
      </w:r>
      <w:r w:rsidR="00297D4A">
        <w:rPr>
          <w:szCs w:val="22"/>
        </w:rPr>
        <w:t>e</w:t>
      </w:r>
      <w:r w:rsidRPr="00C3317D">
        <w:rPr>
          <w:szCs w:val="22"/>
        </w:rPr>
        <w:t xml:space="preserve"> pour soutenir l</w:t>
      </w:r>
      <w:r>
        <w:rPr>
          <w:szCs w:val="22"/>
        </w:rPr>
        <w:t>’</w:t>
      </w:r>
      <w:r w:rsidRPr="00C3317D">
        <w:rPr>
          <w:szCs w:val="22"/>
        </w:rPr>
        <w:t>élaboration d</w:t>
      </w:r>
      <w:r>
        <w:rPr>
          <w:szCs w:val="22"/>
        </w:rPr>
        <w:t>’</w:t>
      </w:r>
      <w:r w:rsidRPr="00C3317D">
        <w:rPr>
          <w:szCs w:val="22"/>
        </w:rPr>
        <w:t xml:space="preserve">une approche stratégique de coopération avec les partenaires </w:t>
      </w:r>
      <w:r w:rsidR="00040484">
        <w:rPr>
          <w:szCs w:val="22"/>
        </w:rPr>
        <w:t>du monde de l’entreprise</w:t>
      </w:r>
      <w:r w:rsidRPr="00C3317D">
        <w:rPr>
          <w:szCs w:val="22"/>
        </w:rPr>
        <w:t xml:space="preserve">. </w:t>
      </w:r>
    </w:p>
    <w:p w14:paraId="09C7446A" w14:textId="1BBFFE04" w:rsidR="00C3317D" w:rsidRPr="00C3317D" w:rsidRDefault="00C3317D" w:rsidP="00C3317D">
      <w:pPr>
        <w:pStyle w:val="Marge"/>
        <w:rPr>
          <w:szCs w:val="22"/>
        </w:rPr>
      </w:pPr>
      <w:r w:rsidRPr="00C3317D">
        <w:rPr>
          <w:szCs w:val="22"/>
        </w:rPr>
        <w:lastRenderedPageBreak/>
        <w:t>22.</w:t>
      </w:r>
      <w:r w:rsidRPr="00C3317D">
        <w:rPr>
          <w:szCs w:val="22"/>
        </w:rPr>
        <w:tab/>
        <w:t>Pour conserver la dynamique et le niveau d</w:t>
      </w:r>
      <w:r>
        <w:rPr>
          <w:szCs w:val="22"/>
        </w:rPr>
        <w:t>’</w:t>
      </w:r>
      <w:r w:rsidRPr="00C3317D">
        <w:rPr>
          <w:szCs w:val="22"/>
        </w:rPr>
        <w:t>activité actuels, des ressources supplémentaires, financières ou en nature, doivent être mobilisées de toute urgence pour permettre à l</w:t>
      </w:r>
      <w:r>
        <w:rPr>
          <w:szCs w:val="22"/>
        </w:rPr>
        <w:t>’</w:t>
      </w:r>
      <w:r w:rsidRPr="00C3317D">
        <w:rPr>
          <w:szCs w:val="22"/>
        </w:rPr>
        <w:t xml:space="preserve">Unité de coordination de la Décennie de disposer de tous les moyens nécessaires et de fonctionner pleinement (IOC/INF-1425). </w:t>
      </w:r>
      <w:r w:rsidR="006046D3">
        <w:rPr>
          <w:szCs w:val="22"/>
        </w:rPr>
        <w:t>Par ailleurs, d</w:t>
      </w:r>
      <w:r>
        <w:rPr>
          <w:szCs w:val="22"/>
        </w:rPr>
        <w:t>’</w:t>
      </w:r>
      <w:r w:rsidRPr="00C3317D">
        <w:rPr>
          <w:szCs w:val="22"/>
        </w:rPr>
        <w:t>importante</w:t>
      </w:r>
      <w:r w:rsidR="00421E71">
        <w:rPr>
          <w:szCs w:val="22"/>
        </w:rPr>
        <w:t>s</w:t>
      </w:r>
      <w:r w:rsidRPr="00C3317D">
        <w:rPr>
          <w:szCs w:val="22"/>
        </w:rPr>
        <w:t xml:space="preserve"> ressources devront être mobilisées à l</w:t>
      </w:r>
      <w:r>
        <w:rPr>
          <w:szCs w:val="22"/>
        </w:rPr>
        <w:t>’</w:t>
      </w:r>
      <w:r w:rsidRPr="00C3317D">
        <w:rPr>
          <w:szCs w:val="22"/>
        </w:rPr>
        <w:t>appui des actions de la Décennie</w:t>
      </w:r>
      <w:r w:rsidR="006046D3">
        <w:rPr>
          <w:szCs w:val="22"/>
        </w:rPr>
        <w:t>.</w:t>
      </w:r>
      <w:r w:rsidRPr="00C3317D">
        <w:rPr>
          <w:szCs w:val="22"/>
        </w:rPr>
        <w:t xml:space="preserve"> </w:t>
      </w:r>
      <w:r w:rsidR="006046D3">
        <w:rPr>
          <w:szCs w:val="22"/>
        </w:rPr>
        <w:t>U</w:t>
      </w:r>
      <w:r w:rsidRPr="00C3317D">
        <w:rPr>
          <w:szCs w:val="22"/>
        </w:rPr>
        <w:t>ne</w:t>
      </w:r>
      <w:r w:rsidR="006046D3">
        <w:rPr>
          <w:szCs w:val="22"/>
        </w:rPr>
        <w:t xml:space="preserve"> </w:t>
      </w:r>
      <w:r w:rsidRPr="00C3317D">
        <w:rPr>
          <w:szCs w:val="22"/>
        </w:rPr>
        <w:t>évaluation actualisée des besoins en ressources des actions de la Décennie est présentée dans le document IOC/INF</w:t>
      </w:r>
      <w:r w:rsidR="00421E71">
        <w:rPr>
          <w:szCs w:val="22"/>
        </w:rPr>
        <w:t> </w:t>
      </w:r>
      <w:r w:rsidRPr="00C3317D">
        <w:rPr>
          <w:szCs w:val="22"/>
        </w:rPr>
        <w:t>1424.</w:t>
      </w:r>
    </w:p>
    <w:p w14:paraId="3C983D19" w14:textId="77777777" w:rsidR="00C3317D" w:rsidRPr="00C3317D" w:rsidRDefault="00C3317D" w:rsidP="00C3317D">
      <w:pPr>
        <w:pStyle w:val="Marge"/>
        <w:rPr>
          <w:b/>
          <w:bCs/>
          <w:szCs w:val="22"/>
        </w:rPr>
      </w:pPr>
      <w:r w:rsidRPr="00C3317D">
        <w:rPr>
          <w:b/>
          <w:bCs/>
          <w:szCs w:val="22"/>
        </w:rPr>
        <w:t xml:space="preserve">Participation et sensibilisation des parties prenantes </w:t>
      </w:r>
    </w:p>
    <w:p w14:paraId="376CB077" w14:textId="6DE876F8" w:rsidR="00C3317D" w:rsidRPr="00C3317D" w:rsidRDefault="00C3317D" w:rsidP="00C3317D">
      <w:pPr>
        <w:pStyle w:val="Marge"/>
        <w:rPr>
          <w:szCs w:val="22"/>
        </w:rPr>
      </w:pPr>
      <w:r w:rsidRPr="00C3317D">
        <w:rPr>
          <w:szCs w:val="22"/>
        </w:rPr>
        <w:t>23.</w:t>
      </w:r>
      <w:r w:rsidRPr="00C3317D">
        <w:rPr>
          <w:szCs w:val="22"/>
        </w:rPr>
        <w:tab/>
        <w:t>D</w:t>
      </w:r>
      <w:r>
        <w:rPr>
          <w:szCs w:val="22"/>
        </w:rPr>
        <w:t>’</w:t>
      </w:r>
      <w:r w:rsidRPr="00C3317D">
        <w:rPr>
          <w:szCs w:val="22"/>
        </w:rPr>
        <w:t>intenses efforts ont été déployés au cours de la période considérée pour favoriser la participation et la sensibilisation des parties prenantes. Des manifestations en présentiel ou en format hybride portant sur différents aspects de la Décennie de l</w:t>
      </w:r>
      <w:r>
        <w:rPr>
          <w:szCs w:val="22"/>
        </w:rPr>
        <w:t>’</w:t>
      </w:r>
      <w:r w:rsidRPr="00C3317D">
        <w:rPr>
          <w:szCs w:val="22"/>
        </w:rPr>
        <w:t>Océan ont été organisées dans le cadre du Congrès mondial de la nature de l</w:t>
      </w:r>
      <w:r>
        <w:rPr>
          <w:szCs w:val="22"/>
        </w:rPr>
        <w:t>’</w:t>
      </w:r>
      <w:r w:rsidRPr="00C3317D">
        <w:rPr>
          <w:szCs w:val="22"/>
        </w:rPr>
        <w:t>UICN (Marseille, septembre 2021), de</w:t>
      </w:r>
      <w:r w:rsidR="00040484">
        <w:rPr>
          <w:szCs w:val="22"/>
        </w:rPr>
        <w:t>s</w:t>
      </w:r>
      <w:r w:rsidRPr="00C3317D">
        <w:rPr>
          <w:szCs w:val="22"/>
        </w:rPr>
        <w:t xml:space="preserve"> 26</w:t>
      </w:r>
      <w:r w:rsidRPr="00C3317D">
        <w:rPr>
          <w:szCs w:val="22"/>
          <w:vertAlign w:val="superscript"/>
        </w:rPr>
        <w:t>e</w:t>
      </w:r>
      <w:r>
        <w:rPr>
          <w:szCs w:val="22"/>
        </w:rPr>
        <w:t xml:space="preserve"> </w:t>
      </w:r>
      <w:r w:rsidRPr="00C3317D">
        <w:rPr>
          <w:szCs w:val="22"/>
        </w:rPr>
        <w:t>et 27</w:t>
      </w:r>
      <w:r w:rsidRPr="00C3317D">
        <w:rPr>
          <w:szCs w:val="22"/>
          <w:vertAlign w:val="superscript"/>
        </w:rPr>
        <w:t>e</w:t>
      </w:r>
      <w:r>
        <w:rPr>
          <w:szCs w:val="22"/>
        </w:rPr>
        <w:t> </w:t>
      </w:r>
      <w:r w:rsidRPr="00C3317D">
        <w:rPr>
          <w:szCs w:val="22"/>
        </w:rPr>
        <w:t>Conférence</w:t>
      </w:r>
      <w:r>
        <w:rPr>
          <w:szCs w:val="22"/>
        </w:rPr>
        <w:t>s</w:t>
      </w:r>
      <w:r w:rsidRPr="00C3317D">
        <w:rPr>
          <w:szCs w:val="22"/>
        </w:rPr>
        <w:t xml:space="preserve"> des Parties à la Convention-cadre des Nations Unies sur les changements climatiques (Glasgow, novembre 2021</w:t>
      </w:r>
      <w:r w:rsidR="00421E71">
        <w:rPr>
          <w:szCs w:val="22"/>
        </w:rPr>
        <w:t> </w:t>
      </w:r>
      <w:r w:rsidRPr="00C3317D">
        <w:rPr>
          <w:szCs w:val="22"/>
        </w:rPr>
        <w:t xml:space="preserve">; </w:t>
      </w:r>
      <w:proofErr w:type="spellStart"/>
      <w:r w:rsidR="005B69EF">
        <w:rPr>
          <w:szCs w:val="22"/>
        </w:rPr>
        <w:t>Charm</w:t>
      </w:r>
      <w:proofErr w:type="spellEnd"/>
      <w:r w:rsidR="005B69EF">
        <w:rPr>
          <w:szCs w:val="22"/>
        </w:rPr>
        <w:t xml:space="preserve"> el-Cheikh</w:t>
      </w:r>
      <w:r w:rsidRPr="00C3317D">
        <w:rPr>
          <w:szCs w:val="22"/>
        </w:rPr>
        <w:t xml:space="preserve">, novembre 2022), du One </w:t>
      </w:r>
      <w:proofErr w:type="spellStart"/>
      <w:r w:rsidRPr="00C3317D">
        <w:rPr>
          <w:szCs w:val="22"/>
        </w:rPr>
        <w:t>Ocean</w:t>
      </w:r>
      <w:proofErr w:type="spellEnd"/>
      <w:r w:rsidRPr="00C3317D">
        <w:rPr>
          <w:szCs w:val="22"/>
        </w:rPr>
        <w:t xml:space="preserve"> </w:t>
      </w:r>
      <w:proofErr w:type="spellStart"/>
      <w:r w:rsidRPr="00C3317D">
        <w:rPr>
          <w:szCs w:val="22"/>
        </w:rPr>
        <w:t>Summit</w:t>
      </w:r>
      <w:proofErr w:type="spellEnd"/>
      <w:r w:rsidRPr="00C3317D">
        <w:rPr>
          <w:szCs w:val="22"/>
        </w:rPr>
        <w:t xml:space="preserve"> (Brest, février 2022), de la Conférence des Nations Unies sur les océans (Lisbonne, juin 2022), de la 15</w:t>
      </w:r>
      <w:r w:rsidRPr="00040484">
        <w:rPr>
          <w:szCs w:val="22"/>
          <w:vertAlign w:val="superscript"/>
        </w:rPr>
        <w:t>e</w:t>
      </w:r>
      <w:r w:rsidR="00040484">
        <w:rPr>
          <w:szCs w:val="22"/>
        </w:rPr>
        <w:t> </w:t>
      </w:r>
      <w:r w:rsidRPr="00C3317D">
        <w:rPr>
          <w:szCs w:val="22"/>
        </w:rPr>
        <w:t>Conférence des Parties à la Convention sur la diversité biologique (Montréal, décembre 2022), de la Conférence «</w:t>
      </w:r>
      <w:r w:rsidR="00421E71">
        <w:rPr>
          <w:szCs w:val="22"/>
        </w:rPr>
        <w:t> </w:t>
      </w:r>
      <w:r w:rsidRPr="00C3317D">
        <w:rPr>
          <w:szCs w:val="22"/>
        </w:rPr>
        <w:t>Notre océan</w:t>
      </w:r>
      <w:r w:rsidR="00421E71">
        <w:rPr>
          <w:szCs w:val="22"/>
        </w:rPr>
        <w:t> </w:t>
      </w:r>
      <w:r w:rsidRPr="00C3317D">
        <w:rPr>
          <w:szCs w:val="22"/>
        </w:rPr>
        <w:t>» (Panama, mars 2023) et de la Conférence des Nations Unies sur l</w:t>
      </w:r>
      <w:r>
        <w:rPr>
          <w:szCs w:val="22"/>
        </w:rPr>
        <w:t>’</w:t>
      </w:r>
      <w:r w:rsidRPr="00C3317D">
        <w:rPr>
          <w:szCs w:val="22"/>
        </w:rPr>
        <w:t xml:space="preserve">eau (New York, mars 2023). </w:t>
      </w:r>
      <w:r w:rsidR="00040484">
        <w:rPr>
          <w:szCs w:val="22"/>
        </w:rPr>
        <w:t>Parmi</w:t>
      </w:r>
      <w:r w:rsidRPr="00C3317D">
        <w:rPr>
          <w:szCs w:val="22"/>
        </w:rPr>
        <w:t xml:space="preserve"> ces manifestations</w:t>
      </w:r>
      <w:r w:rsidR="00040484">
        <w:rPr>
          <w:szCs w:val="22"/>
        </w:rPr>
        <w:t>, la</w:t>
      </w:r>
      <w:r w:rsidRPr="00C3317D">
        <w:rPr>
          <w:szCs w:val="22"/>
        </w:rPr>
        <w:t xml:space="preserve"> </w:t>
      </w:r>
      <w:r w:rsidR="00040484" w:rsidRPr="00C3317D">
        <w:rPr>
          <w:szCs w:val="22"/>
        </w:rPr>
        <w:t xml:space="preserve">Conférence des Nations unies sur les océans </w:t>
      </w:r>
      <w:r w:rsidR="00040484">
        <w:rPr>
          <w:szCs w:val="22"/>
        </w:rPr>
        <w:t>s’est démarquée par</w:t>
      </w:r>
      <w:r w:rsidRPr="00C3317D">
        <w:rPr>
          <w:szCs w:val="22"/>
        </w:rPr>
        <w:t xml:space="preserve"> la </w:t>
      </w:r>
      <w:r w:rsidR="00040484">
        <w:rPr>
          <w:szCs w:val="22"/>
        </w:rPr>
        <w:t xml:space="preserve">vaste </w:t>
      </w:r>
      <w:r w:rsidRPr="00C3317D">
        <w:rPr>
          <w:szCs w:val="22"/>
        </w:rPr>
        <w:t xml:space="preserve">mobilisation </w:t>
      </w:r>
      <w:r w:rsidR="00040484">
        <w:rPr>
          <w:szCs w:val="22"/>
        </w:rPr>
        <w:t xml:space="preserve">qu’elle a </w:t>
      </w:r>
      <w:r w:rsidRPr="00C3317D">
        <w:rPr>
          <w:szCs w:val="22"/>
        </w:rPr>
        <w:t>suscitée. La Décennie de l</w:t>
      </w:r>
      <w:r>
        <w:rPr>
          <w:szCs w:val="22"/>
        </w:rPr>
        <w:t>’</w:t>
      </w:r>
      <w:r w:rsidRPr="00C3317D">
        <w:rPr>
          <w:szCs w:val="22"/>
        </w:rPr>
        <w:t>Océan a organisé une réunion de haut niveau de l</w:t>
      </w:r>
      <w:r>
        <w:rPr>
          <w:szCs w:val="22"/>
        </w:rPr>
        <w:t>’</w:t>
      </w:r>
      <w:r w:rsidRPr="00C3317D">
        <w:rPr>
          <w:szCs w:val="22"/>
        </w:rPr>
        <w:t>Alliance de la Décennie de l</w:t>
      </w:r>
      <w:r>
        <w:rPr>
          <w:szCs w:val="22"/>
        </w:rPr>
        <w:t>’</w:t>
      </w:r>
      <w:r w:rsidRPr="00C3317D">
        <w:rPr>
          <w:szCs w:val="22"/>
        </w:rPr>
        <w:t>Océan</w:t>
      </w:r>
      <w:r w:rsidR="00040484">
        <w:rPr>
          <w:szCs w:val="22"/>
        </w:rPr>
        <w:t>,</w:t>
      </w:r>
      <w:r w:rsidRPr="00C3317D">
        <w:rPr>
          <w:szCs w:val="22"/>
        </w:rPr>
        <w:t xml:space="preserve"> à laquelle ont participé plusieurs mécènes de l</w:t>
      </w:r>
      <w:r>
        <w:rPr>
          <w:szCs w:val="22"/>
        </w:rPr>
        <w:t>’</w:t>
      </w:r>
      <w:r w:rsidRPr="00C3317D">
        <w:rPr>
          <w:szCs w:val="22"/>
        </w:rPr>
        <w:t xml:space="preserve">Alliance, notamment les </w:t>
      </w:r>
      <w:r w:rsidR="000E0597">
        <w:rPr>
          <w:szCs w:val="22"/>
        </w:rPr>
        <w:t>P</w:t>
      </w:r>
      <w:r w:rsidRPr="00C3317D">
        <w:rPr>
          <w:szCs w:val="22"/>
        </w:rPr>
        <w:t xml:space="preserve">résidents du Kenya, du Portugal et des Palaos. La Décennie a également organisé une manifestation multipartite très réussie destinée à présenter les réalisations et les partenariats. </w:t>
      </w:r>
    </w:p>
    <w:p w14:paraId="5FBA8A8A" w14:textId="740FEB1F" w:rsidR="00C3317D" w:rsidRPr="00C3317D" w:rsidRDefault="00C3317D" w:rsidP="00C3317D">
      <w:pPr>
        <w:pStyle w:val="Marge"/>
        <w:rPr>
          <w:szCs w:val="22"/>
        </w:rPr>
      </w:pPr>
      <w:r w:rsidRPr="00C3317D">
        <w:rPr>
          <w:szCs w:val="22"/>
        </w:rPr>
        <w:t>24.</w:t>
      </w:r>
      <w:r w:rsidRPr="00C3317D">
        <w:rPr>
          <w:szCs w:val="22"/>
        </w:rPr>
        <w:tab/>
        <w:t>Une version remaniée du site Web de la Décennie de l</w:t>
      </w:r>
      <w:r>
        <w:rPr>
          <w:szCs w:val="22"/>
        </w:rPr>
        <w:t>’</w:t>
      </w:r>
      <w:r w:rsidRPr="00C3317D">
        <w:rPr>
          <w:szCs w:val="22"/>
        </w:rPr>
        <w:t>Océan a été lancée en octobre 2021 et continue d</w:t>
      </w:r>
      <w:r>
        <w:rPr>
          <w:szCs w:val="22"/>
        </w:rPr>
        <w:t>’</w:t>
      </w:r>
      <w:r w:rsidRPr="00C3317D">
        <w:rPr>
          <w:szCs w:val="22"/>
        </w:rPr>
        <w:t>être améliorée. Le site intègre le réseau de la Décennie de l</w:t>
      </w:r>
      <w:r>
        <w:rPr>
          <w:szCs w:val="22"/>
        </w:rPr>
        <w:t>’</w:t>
      </w:r>
      <w:r w:rsidRPr="00C3317D">
        <w:rPr>
          <w:szCs w:val="22"/>
        </w:rPr>
        <w:t>Océan, une plate-forme communautaire en ligne d</w:t>
      </w:r>
      <w:r>
        <w:rPr>
          <w:szCs w:val="22"/>
        </w:rPr>
        <w:t>’</w:t>
      </w:r>
      <w:r w:rsidRPr="00C3317D">
        <w:rPr>
          <w:szCs w:val="22"/>
        </w:rPr>
        <w:t>échange et de collaboration qui compte plus de 6</w:t>
      </w:r>
      <w:r w:rsidR="00040484">
        <w:rPr>
          <w:szCs w:val="22"/>
        </w:rPr>
        <w:t> </w:t>
      </w:r>
      <w:r w:rsidRPr="00C3317D">
        <w:rPr>
          <w:szCs w:val="22"/>
        </w:rPr>
        <w:t>200</w:t>
      </w:r>
      <w:r w:rsidR="00421E71">
        <w:rPr>
          <w:szCs w:val="22"/>
        </w:rPr>
        <w:t> </w:t>
      </w:r>
      <w:r w:rsidRPr="00C3317D">
        <w:rPr>
          <w:szCs w:val="22"/>
        </w:rPr>
        <w:t xml:space="preserve">utilisateurs </w:t>
      </w:r>
      <w:r w:rsidR="00040484">
        <w:rPr>
          <w:szCs w:val="22"/>
        </w:rPr>
        <w:t>inscrits</w:t>
      </w:r>
      <w:r w:rsidRPr="00C3317D">
        <w:rPr>
          <w:szCs w:val="22"/>
        </w:rPr>
        <w:t xml:space="preserve"> et assure l</w:t>
      </w:r>
      <w:r>
        <w:rPr>
          <w:szCs w:val="22"/>
        </w:rPr>
        <w:t>’</w:t>
      </w:r>
      <w:r w:rsidRPr="00C3317D">
        <w:rPr>
          <w:szCs w:val="22"/>
        </w:rPr>
        <w:t xml:space="preserve">hébergement numérique des différents groupes travaillant dans le cadre de la Décennie. La campagne de communication </w:t>
      </w:r>
      <w:proofErr w:type="spellStart"/>
      <w:r w:rsidRPr="00C3317D">
        <w:rPr>
          <w:szCs w:val="22"/>
        </w:rPr>
        <w:t>GenOcean</w:t>
      </w:r>
      <w:proofErr w:type="spellEnd"/>
      <w:r w:rsidR="00040484">
        <w:rPr>
          <w:szCs w:val="22"/>
        </w:rPr>
        <w:t xml:space="preserve"> a été</w:t>
      </w:r>
      <w:r w:rsidRPr="00C3317D">
        <w:rPr>
          <w:szCs w:val="22"/>
        </w:rPr>
        <w:t xml:space="preserve"> lancée le 4</w:t>
      </w:r>
      <w:r w:rsidR="00421E71">
        <w:rPr>
          <w:szCs w:val="22"/>
        </w:rPr>
        <w:t> </w:t>
      </w:r>
      <w:r w:rsidRPr="00C3317D">
        <w:rPr>
          <w:szCs w:val="22"/>
        </w:rPr>
        <w:t>avril 2022</w:t>
      </w:r>
      <w:r w:rsidR="00040484">
        <w:rPr>
          <w:szCs w:val="22"/>
        </w:rPr>
        <w:t xml:space="preserve"> à l’intention</w:t>
      </w:r>
      <w:r w:rsidRPr="00C3317D">
        <w:rPr>
          <w:szCs w:val="22"/>
        </w:rPr>
        <w:t xml:space="preserve"> </w:t>
      </w:r>
      <w:r w:rsidR="00040484">
        <w:rPr>
          <w:szCs w:val="22"/>
        </w:rPr>
        <w:t>d</w:t>
      </w:r>
      <w:r w:rsidRPr="00C3317D">
        <w:rPr>
          <w:szCs w:val="22"/>
        </w:rPr>
        <w:t>u grand public</w:t>
      </w:r>
      <w:r w:rsidR="00040484">
        <w:rPr>
          <w:szCs w:val="22"/>
        </w:rPr>
        <w:t>, afin d’</w:t>
      </w:r>
      <w:r w:rsidRPr="00C3317D">
        <w:rPr>
          <w:szCs w:val="22"/>
        </w:rPr>
        <w:t xml:space="preserve">améliorer </w:t>
      </w:r>
      <w:r w:rsidR="00040484">
        <w:rPr>
          <w:szCs w:val="22"/>
        </w:rPr>
        <w:t>s</w:t>
      </w:r>
      <w:r w:rsidRPr="00C3317D">
        <w:rPr>
          <w:szCs w:val="22"/>
        </w:rPr>
        <w:t>es connaissances sur les océans pour l</w:t>
      </w:r>
      <w:r>
        <w:rPr>
          <w:szCs w:val="22"/>
        </w:rPr>
        <w:t>’</w:t>
      </w:r>
      <w:r w:rsidRPr="00C3317D">
        <w:rPr>
          <w:szCs w:val="22"/>
        </w:rPr>
        <w:t xml:space="preserve">inciter à agir. </w:t>
      </w:r>
      <w:r w:rsidR="00040484">
        <w:rPr>
          <w:szCs w:val="22"/>
        </w:rPr>
        <w:t>C</w:t>
      </w:r>
      <w:r w:rsidRPr="00C3317D">
        <w:rPr>
          <w:szCs w:val="22"/>
        </w:rPr>
        <w:t xml:space="preserve">ette campagne a </w:t>
      </w:r>
      <w:r w:rsidR="00040484">
        <w:rPr>
          <w:szCs w:val="22"/>
        </w:rPr>
        <w:t>fait l’objet d’un</w:t>
      </w:r>
      <w:r w:rsidR="00040484" w:rsidRPr="00040484">
        <w:rPr>
          <w:szCs w:val="22"/>
        </w:rPr>
        <w:t xml:space="preserve"> </w:t>
      </w:r>
      <w:r w:rsidR="00040484" w:rsidRPr="00C3317D">
        <w:rPr>
          <w:szCs w:val="22"/>
        </w:rPr>
        <w:t>examen interne</w:t>
      </w:r>
      <w:r w:rsidRPr="00C3317D">
        <w:rPr>
          <w:szCs w:val="22"/>
        </w:rPr>
        <w:t xml:space="preserve">, et sera relancée à la fin de 2023 pour se concentrer sur les initiatives de science citoyenne. </w:t>
      </w:r>
    </w:p>
    <w:p w14:paraId="1261AAA6" w14:textId="64EE2300" w:rsidR="00C3317D" w:rsidRPr="00C3317D" w:rsidRDefault="00C3317D" w:rsidP="00C3317D">
      <w:pPr>
        <w:pStyle w:val="Marge"/>
        <w:rPr>
          <w:szCs w:val="22"/>
        </w:rPr>
      </w:pPr>
      <w:r w:rsidRPr="00C3317D">
        <w:rPr>
          <w:szCs w:val="22"/>
        </w:rPr>
        <w:t>25.</w:t>
      </w:r>
      <w:r w:rsidRPr="00C3317D">
        <w:rPr>
          <w:szCs w:val="22"/>
        </w:rPr>
        <w:tab/>
        <w:t>Les médias sociaux de toutes les plates-formes de la Décennie de l</w:t>
      </w:r>
      <w:r>
        <w:rPr>
          <w:szCs w:val="22"/>
        </w:rPr>
        <w:t>’</w:t>
      </w:r>
      <w:r w:rsidRPr="00C3317D">
        <w:rPr>
          <w:szCs w:val="22"/>
        </w:rPr>
        <w:t>Océan comptent désormais environ 45</w:t>
      </w:r>
      <w:r w:rsidR="007718F4">
        <w:rPr>
          <w:szCs w:val="22"/>
        </w:rPr>
        <w:t> </w:t>
      </w:r>
      <w:r w:rsidRPr="00C3317D">
        <w:rPr>
          <w:szCs w:val="22"/>
        </w:rPr>
        <w:t>000</w:t>
      </w:r>
      <w:r w:rsidR="00421E71">
        <w:rPr>
          <w:szCs w:val="22"/>
        </w:rPr>
        <w:t> </w:t>
      </w:r>
      <w:r w:rsidRPr="00C3317D">
        <w:rPr>
          <w:szCs w:val="22"/>
        </w:rPr>
        <w:t>abonnés. D</w:t>
      </w:r>
      <w:r>
        <w:rPr>
          <w:szCs w:val="22"/>
        </w:rPr>
        <w:t>’</w:t>
      </w:r>
      <w:r w:rsidRPr="00C3317D">
        <w:rPr>
          <w:szCs w:val="22"/>
        </w:rPr>
        <w:t>après les rapports communiqués au titre de la première mouture du cadre de suivi et d</w:t>
      </w:r>
      <w:r>
        <w:rPr>
          <w:szCs w:val="22"/>
        </w:rPr>
        <w:t>’</w:t>
      </w:r>
      <w:r w:rsidRPr="00C3317D">
        <w:rPr>
          <w:szCs w:val="22"/>
        </w:rPr>
        <w:t>établissement de rapports, le nombre total d</w:t>
      </w:r>
      <w:r>
        <w:rPr>
          <w:szCs w:val="22"/>
        </w:rPr>
        <w:t>’</w:t>
      </w:r>
      <w:r w:rsidRPr="00C3317D">
        <w:rPr>
          <w:szCs w:val="22"/>
        </w:rPr>
        <w:t>abonnés aux médias sociaux des actions de la Décennie, des centres de collaboration, des bureaux de coordination, des partenaires d</w:t>
      </w:r>
      <w:r>
        <w:rPr>
          <w:szCs w:val="22"/>
        </w:rPr>
        <w:t>’</w:t>
      </w:r>
      <w:r w:rsidRPr="00C3317D">
        <w:rPr>
          <w:szCs w:val="22"/>
        </w:rPr>
        <w:t xml:space="preserve">exécution et des comités nationaux de la Décennie dépasse les six millions. </w:t>
      </w:r>
    </w:p>
    <w:p w14:paraId="47DC65F7" w14:textId="77777777" w:rsidR="00C3317D" w:rsidRPr="00C3317D" w:rsidRDefault="00C3317D" w:rsidP="00C3317D">
      <w:pPr>
        <w:pStyle w:val="Marge"/>
        <w:rPr>
          <w:b/>
          <w:bCs/>
          <w:szCs w:val="22"/>
        </w:rPr>
      </w:pPr>
      <w:r w:rsidRPr="00C3317D">
        <w:rPr>
          <w:b/>
          <w:bCs/>
          <w:szCs w:val="22"/>
        </w:rPr>
        <w:t xml:space="preserve">Perspectives pour la prochaine période </w:t>
      </w:r>
    </w:p>
    <w:p w14:paraId="6D408F64" w14:textId="484C8C22" w:rsidR="00C3317D" w:rsidRPr="00C3317D" w:rsidRDefault="00C3317D" w:rsidP="00C3317D">
      <w:pPr>
        <w:pStyle w:val="Marge"/>
        <w:rPr>
          <w:szCs w:val="22"/>
        </w:rPr>
      </w:pPr>
      <w:r w:rsidRPr="00C3317D">
        <w:rPr>
          <w:szCs w:val="22"/>
        </w:rPr>
        <w:t>26.</w:t>
      </w:r>
      <w:r w:rsidRPr="00C3317D">
        <w:rPr>
          <w:szCs w:val="22"/>
        </w:rPr>
        <w:tab/>
        <w:t>Le processus Vision pour 2030 a été lancé et sera mis en œuvre au cours des 12</w:t>
      </w:r>
      <w:r w:rsidR="00421E71">
        <w:rPr>
          <w:szCs w:val="22"/>
        </w:rPr>
        <w:t> </w:t>
      </w:r>
      <w:r w:rsidRPr="00C3317D">
        <w:rPr>
          <w:szCs w:val="22"/>
        </w:rPr>
        <w:t>prochains mois par l</w:t>
      </w:r>
      <w:r>
        <w:rPr>
          <w:szCs w:val="22"/>
        </w:rPr>
        <w:t>’</w:t>
      </w:r>
      <w:r w:rsidRPr="00C3317D">
        <w:rPr>
          <w:szCs w:val="22"/>
        </w:rPr>
        <w:t>intermédiaire de plusieurs groupes de travail d</w:t>
      </w:r>
      <w:r>
        <w:rPr>
          <w:szCs w:val="22"/>
        </w:rPr>
        <w:t>’</w:t>
      </w:r>
      <w:r w:rsidRPr="00C3317D">
        <w:rPr>
          <w:szCs w:val="22"/>
        </w:rPr>
        <w:t>experts, qui définiront une ambition stratégique collective et quantifiable pour chacun des défis de la Décennie de l</w:t>
      </w:r>
      <w:r>
        <w:rPr>
          <w:szCs w:val="22"/>
        </w:rPr>
        <w:t>’</w:t>
      </w:r>
      <w:r w:rsidRPr="00C3317D">
        <w:rPr>
          <w:szCs w:val="22"/>
        </w:rPr>
        <w:t>Océan. Les résultats du processus serviront à délimiter la portée des futurs appels à l</w:t>
      </w:r>
      <w:r>
        <w:rPr>
          <w:szCs w:val="22"/>
        </w:rPr>
        <w:t>’</w:t>
      </w:r>
      <w:r w:rsidRPr="00C3317D">
        <w:rPr>
          <w:szCs w:val="22"/>
        </w:rPr>
        <w:t>action de la Décennie, afin de faciliter la sollicitation de programmes et de projets répondant aux besoins prioritaires identifiés pour chaque défi. Ils seront également utilisés dans le cadre des discussions avec les bailleurs de fonds, pour mettre la mobilisation de ressources en concordance avec les besoins les plus urgents de la Décennie. Lorsque les résultats du processus Vision pour 2030 seront validés lors de la Conférence de la Décennie de l</w:t>
      </w:r>
      <w:r>
        <w:rPr>
          <w:szCs w:val="22"/>
        </w:rPr>
        <w:t>’</w:t>
      </w:r>
      <w:r w:rsidRPr="00C3317D">
        <w:rPr>
          <w:szCs w:val="22"/>
        </w:rPr>
        <w:t xml:space="preserve">Océan de 2024, un cadre opérationnel sera mis en œuvre pour suivre </w:t>
      </w:r>
      <w:r w:rsidR="00DC0D15">
        <w:rPr>
          <w:szCs w:val="22"/>
        </w:rPr>
        <w:t xml:space="preserve">les </w:t>
      </w:r>
      <w:r w:rsidR="00DC0D15" w:rsidRPr="00C3317D">
        <w:rPr>
          <w:szCs w:val="22"/>
        </w:rPr>
        <w:t>progrès accomplis dans la réalisation de l</w:t>
      </w:r>
      <w:r w:rsidR="00DC0D15">
        <w:rPr>
          <w:szCs w:val="22"/>
        </w:rPr>
        <w:t>’</w:t>
      </w:r>
      <w:r w:rsidR="00DC0D15" w:rsidRPr="00C3317D">
        <w:rPr>
          <w:szCs w:val="22"/>
        </w:rPr>
        <w:t>ambition stratégique définie pour chaque défi</w:t>
      </w:r>
      <w:r w:rsidR="00DC0D15" w:rsidRPr="00DC0D15">
        <w:rPr>
          <w:szCs w:val="22"/>
        </w:rPr>
        <w:t xml:space="preserve"> </w:t>
      </w:r>
      <w:r w:rsidRPr="00DC0D15">
        <w:rPr>
          <w:szCs w:val="22"/>
        </w:rPr>
        <w:t xml:space="preserve">et </w:t>
      </w:r>
      <w:r w:rsidR="00DC0D15" w:rsidRPr="00DC0D15">
        <w:rPr>
          <w:szCs w:val="22"/>
        </w:rPr>
        <w:t xml:space="preserve">en </w:t>
      </w:r>
      <w:r w:rsidRPr="00DC0D15">
        <w:rPr>
          <w:szCs w:val="22"/>
        </w:rPr>
        <w:t>rendre compt</w:t>
      </w:r>
      <w:r w:rsidR="00DC0D15">
        <w:rPr>
          <w:szCs w:val="22"/>
        </w:rPr>
        <w:t>e</w:t>
      </w:r>
      <w:r w:rsidRPr="00C3317D">
        <w:rPr>
          <w:szCs w:val="22"/>
        </w:rPr>
        <w:t xml:space="preserve">. </w:t>
      </w:r>
    </w:p>
    <w:p w14:paraId="60C9E749" w14:textId="7A19359F" w:rsidR="00C3317D" w:rsidRPr="00C3317D" w:rsidRDefault="00C3317D" w:rsidP="00C3317D">
      <w:pPr>
        <w:pStyle w:val="Marge"/>
        <w:rPr>
          <w:szCs w:val="22"/>
        </w:rPr>
      </w:pPr>
      <w:r w:rsidRPr="00C3317D">
        <w:rPr>
          <w:szCs w:val="22"/>
        </w:rPr>
        <w:t>27.</w:t>
      </w:r>
      <w:r w:rsidRPr="00C3317D">
        <w:rPr>
          <w:szCs w:val="22"/>
        </w:rPr>
        <w:tab/>
      </w:r>
      <w:r w:rsidRPr="00CE1DBC">
        <w:rPr>
          <w:spacing w:val="-2"/>
          <w:szCs w:val="22"/>
        </w:rPr>
        <w:t>La planification de l’édition</w:t>
      </w:r>
      <w:r w:rsidR="00421E71" w:rsidRPr="00CE1DBC">
        <w:rPr>
          <w:spacing w:val="-2"/>
          <w:szCs w:val="22"/>
        </w:rPr>
        <w:t> </w:t>
      </w:r>
      <w:r w:rsidRPr="00CE1DBC">
        <w:rPr>
          <w:spacing w:val="-2"/>
          <w:szCs w:val="22"/>
        </w:rPr>
        <w:t xml:space="preserve">2024 de la Conférence de la Décennie de l’Océan, qui sera organisée par le Gouvernement de l’Espagne à Barcelone en avril 2024, est en cours. Cette manifestation majeure offrira à la communauté de la Décennie une plate-forme de premier ordre pour célébrer les </w:t>
      </w:r>
      <w:r w:rsidRPr="00CE1DBC">
        <w:rPr>
          <w:spacing w:val="-2"/>
          <w:szCs w:val="22"/>
        </w:rPr>
        <w:lastRenderedPageBreak/>
        <w:t>réalisations de la Décennie, présenter des solutions novatrices et les résultats des actions de la Décennie, et définir collectivement une vision pour les prochaines années de mise en œuvre de la Décennie</w:t>
      </w:r>
      <w:r w:rsidR="00DC0D15" w:rsidRPr="00CE1DBC">
        <w:rPr>
          <w:spacing w:val="-2"/>
          <w:szCs w:val="22"/>
        </w:rPr>
        <w:t>,</w:t>
      </w:r>
      <w:r w:rsidRPr="00CE1DBC">
        <w:rPr>
          <w:spacing w:val="-2"/>
          <w:szCs w:val="22"/>
        </w:rPr>
        <w:t xml:space="preserve"> </w:t>
      </w:r>
      <w:r w:rsidR="004F3D3D" w:rsidRPr="00CE1DBC">
        <w:rPr>
          <w:spacing w:val="-2"/>
          <w:szCs w:val="22"/>
        </w:rPr>
        <w:t>dans le cadre de</w:t>
      </w:r>
      <w:r w:rsidRPr="00CE1DBC">
        <w:rPr>
          <w:spacing w:val="-2"/>
          <w:szCs w:val="22"/>
        </w:rPr>
        <w:t xml:space="preserve"> la présentation et </w:t>
      </w:r>
      <w:r w:rsidR="004F3D3D" w:rsidRPr="00CE1DBC">
        <w:rPr>
          <w:spacing w:val="-2"/>
          <w:szCs w:val="22"/>
        </w:rPr>
        <w:t xml:space="preserve">de </w:t>
      </w:r>
      <w:r w:rsidRPr="00CE1DBC">
        <w:rPr>
          <w:spacing w:val="-2"/>
          <w:szCs w:val="22"/>
        </w:rPr>
        <w:t>l’examen du processus Vision pour</w:t>
      </w:r>
      <w:r w:rsidR="006E0F3D" w:rsidRPr="00CE1DBC">
        <w:rPr>
          <w:spacing w:val="-2"/>
          <w:szCs w:val="22"/>
        </w:rPr>
        <w:t> </w:t>
      </w:r>
      <w:r w:rsidRPr="00CE1DBC">
        <w:rPr>
          <w:spacing w:val="-2"/>
          <w:szCs w:val="22"/>
        </w:rPr>
        <w:t xml:space="preserve">2030. </w:t>
      </w:r>
    </w:p>
    <w:p w14:paraId="7235F9FE" w14:textId="3381A8AD" w:rsidR="00191E6D" w:rsidRPr="00C3317D" w:rsidRDefault="00C3317D" w:rsidP="00C3317D">
      <w:pPr>
        <w:pStyle w:val="Marge"/>
        <w:rPr>
          <w:szCs w:val="22"/>
        </w:rPr>
      </w:pPr>
      <w:r w:rsidRPr="00C3317D">
        <w:rPr>
          <w:szCs w:val="22"/>
        </w:rPr>
        <w:t>28.</w:t>
      </w:r>
      <w:r w:rsidRPr="00C3317D">
        <w:rPr>
          <w:szCs w:val="22"/>
        </w:rPr>
        <w:tab/>
      </w:r>
      <w:r w:rsidRPr="006E0F3D">
        <w:rPr>
          <w:spacing w:val="-2"/>
          <w:szCs w:val="22"/>
        </w:rPr>
        <w:t xml:space="preserve">La </w:t>
      </w:r>
      <w:r w:rsidR="005B69EF" w:rsidRPr="006E0F3D">
        <w:rPr>
          <w:spacing w:val="-2"/>
          <w:szCs w:val="22"/>
        </w:rPr>
        <w:t xml:space="preserve">Conférence de la Décennie de l’Océan de 2024 est </w:t>
      </w:r>
      <w:r w:rsidRPr="006E0F3D">
        <w:rPr>
          <w:spacing w:val="-2"/>
          <w:szCs w:val="22"/>
        </w:rPr>
        <w:t>prépar</w:t>
      </w:r>
      <w:r w:rsidR="005B69EF" w:rsidRPr="006E0F3D">
        <w:rPr>
          <w:spacing w:val="-2"/>
          <w:szCs w:val="22"/>
        </w:rPr>
        <w:t>ée de manière</w:t>
      </w:r>
      <w:r w:rsidRPr="006E0F3D">
        <w:rPr>
          <w:spacing w:val="-2"/>
          <w:szCs w:val="22"/>
        </w:rPr>
        <w:t xml:space="preserve"> </w:t>
      </w:r>
      <w:r w:rsidR="005B69EF" w:rsidRPr="006E0F3D">
        <w:rPr>
          <w:spacing w:val="-2"/>
          <w:szCs w:val="22"/>
        </w:rPr>
        <w:t>à</w:t>
      </w:r>
      <w:r w:rsidRPr="006E0F3D">
        <w:rPr>
          <w:spacing w:val="-2"/>
          <w:szCs w:val="22"/>
        </w:rPr>
        <w:t xml:space="preserve"> assurer une solide coordination avec d’autres manifestations régionales et internationales clés qui se tiendront avant et après, notamment le </w:t>
      </w:r>
      <w:r w:rsidR="001E0436">
        <w:rPr>
          <w:spacing w:val="-2"/>
          <w:szCs w:val="22"/>
        </w:rPr>
        <w:t>F</w:t>
      </w:r>
      <w:r w:rsidRPr="006E0F3D">
        <w:rPr>
          <w:spacing w:val="-2"/>
          <w:szCs w:val="22"/>
        </w:rPr>
        <w:t>orum politique de haut niveau pour le développement durable qui aura lieu en marge de l’Assemblée générale des Nations Unies (New York, septembre 2023), la COP-28 de la CCNUCC (Dubaï, décembre 2023), la Conférence préparatoire des Nations Unies sur les océans (Costa Rica, juin 2024) et la quatrième Conférence internationale sur les PEID (Antigua-et-Barbuda, juin 2024 – à déterminer). Une coopération étroite a été instaurée avec les co-organisateurs de la Conférence des Nations Unies sur les océans de 2025 (Nice, juin 2025), afin d’assurer la complémentarité avec les résultats de la Conférence de la Décennie de l’Océan de</w:t>
      </w:r>
      <w:r w:rsidR="006E0F3D" w:rsidRPr="006E0F3D">
        <w:rPr>
          <w:spacing w:val="-2"/>
          <w:szCs w:val="22"/>
        </w:rPr>
        <w:t> </w:t>
      </w:r>
      <w:r w:rsidRPr="006E0F3D">
        <w:rPr>
          <w:spacing w:val="-2"/>
          <w:szCs w:val="22"/>
        </w:rPr>
        <w:t>2024.</w:t>
      </w:r>
    </w:p>
    <w:sectPr w:rsidR="00191E6D" w:rsidRPr="00C3317D" w:rsidSect="00367A77">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88E5" w14:textId="77777777" w:rsidR="00CD0E13" w:rsidRDefault="00CD0E13">
      <w:r>
        <w:separator/>
      </w:r>
    </w:p>
  </w:endnote>
  <w:endnote w:type="continuationSeparator" w:id="0">
    <w:p w14:paraId="3F293696" w14:textId="77777777" w:rsidR="00CD0E13" w:rsidRDefault="00CD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8B5C" w14:textId="77777777" w:rsidR="002F3A57" w:rsidRDefault="002F3A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5BA7" w14:textId="77777777" w:rsidR="002F3A57" w:rsidRDefault="002F3A57">
    <w:pPr>
      <w:pStyle w:val="Pieddepage"/>
    </w:pPr>
    <w:r>
      <w:rPr>
        <w:noProof/>
      </w:rPr>
      <mc:AlternateContent>
        <mc:Choice Requires="wps">
          <w:drawing>
            <wp:anchor distT="45720" distB="45720" distL="114300" distR="114300" simplePos="0" relativeHeight="251669504" behindDoc="0" locked="0" layoutInCell="1" allowOverlap="1" wp14:anchorId="2CC109A9" wp14:editId="049C52C5">
              <wp:simplePos x="0" y="0"/>
              <wp:positionH relativeFrom="column">
                <wp:posOffset>8352817</wp:posOffset>
              </wp:positionH>
              <wp:positionV relativeFrom="paragraph">
                <wp:posOffset>-1364004</wp:posOffset>
              </wp:positionV>
              <wp:extent cx="2156460" cy="272415"/>
              <wp:effectExtent l="8572" t="0" r="4763" b="4762"/>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1420B0D7" w14:textId="3B40E2D6" w:rsidR="002F3A57" w:rsidRDefault="002F3A57">
                          <w:r w:rsidRPr="00352423">
                            <w:rPr>
                              <w:rFonts w:cs="Arial"/>
                              <w:bCs/>
                              <w:szCs w:val="22"/>
                            </w:rPr>
                            <w:t>IOC/</w:t>
                          </w:r>
                          <w:r>
                            <w:rPr>
                              <w:rFonts w:cs="Arial"/>
                              <w:bCs/>
                              <w:szCs w:val="22"/>
                            </w:rPr>
                            <w:t>A-32/</w:t>
                          </w:r>
                          <w:r w:rsidR="00A83610">
                            <w:rPr>
                              <w:rFonts w:cs="Arial"/>
                              <w:bCs/>
                              <w:szCs w:val="22"/>
                            </w:rPr>
                            <w:t>6</w:t>
                          </w:r>
                          <w:r>
                            <w:rPr>
                              <w:rFonts w:cs="Arial"/>
                              <w:bCs/>
                              <w:szCs w:val="22"/>
                            </w:rPr>
                            <w:t>.</w:t>
                          </w:r>
                          <w:proofErr w:type="gramStart"/>
                          <w:r w:rsidR="00A83610">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109A9" id="_x0000_t202" coordsize="21600,21600" o:spt="202" path="m,l,21600r21600,l21600,xe">
              <v:stroke joinstyle="miter"/>
              <v:path gradientshapeok="t" o:connecttype="rect"/>
            </v:shapetype>
            <v:shape id="Zone de texte 5" o:spid="_x0000_s1028" type="#_x0000_t202" style="position:absolute;margin-left:657.7pt;margin-top:-107.4pt;width:169.8pt;height:21.45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" stroked="f">
              <v:textbox>
                <w:txbxContent>
                  <w:p w14:paraId="1420B0D7" w14:textId="3B40E2D6" w:rsidR="002F3A57" w:rsidRDefault="002F3A57">
                    <w:r w:rsidRPr="00352423">
                      <w:rPr>
                        <w:rFonts w:cs="Arial"/>
                        <w:bCs/>
                        <w:szCs w:val="22"/>
                      </w:rPr>
                      <w:t>IOC/</w:t>
                    </w:r>
                    <w:r>
                      <w:rPr>
                        <w:rFonts w:cs="Arial"/>
                        <w:bCs/>
                        <w:szCs w:val="22"/>
                      </w:rPr>
                      <w:t>A-32/</w:t>
                    </w:r>
                    <w:r w:rsidR="00A83610">
                      <w:rPr>
                        <w:rFonts w:cs="Arial"/>
                        <w:bCs/>
                        <w:szCs w:val="22"/>
                      </w:rPr>
                      <w:t>6</w:t>
                    </w:r>
                    <w:r>
                      <w:rPr>
                        <w:rFonts w:cs="Arial"/>
                        <w:bCs/>
                        <w:szCs w:val="22"/>
                      </w:rPr>
                      <w:t>.</w:t>
                    </w:r>
                    <w:proofErr w:type="gramStart"/>
                    <w:r w:rsidR="00A83610">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7071" w14:textId="77777777" w:rsidR="001C628E" w:rsidRDefault="001C62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E66F" w14:textId="77777777" w:rsidR="00CD0E13" w:rsidRDefault="00CD0E13">
      <w:r>
        <w:separator/>
      </w:r>
    </w:p>
  </w:footnote>
  <w:footnote w:type="continuationSeparator" w:id="0">
    <w:p w14:paraId="5AF1E112" w14:textId="77777777" w:rsidR="00CD0E13" w:rsidRDefault="00CD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En-tte"/>
      <w:spacing w:after="240"/>
      <w:rPr>
        <w:rFonts w:cs="Arial"/>
        <w:bCs/>
        <w:szCs w:val="22"/>
      </w:rPr>
    </w:pPr>
    <w:bookmarkStart w:id="0" w:name="_Hlk130197366"/>
    <w:r w:rsidRPr="00352423">
      <w:rPr>
        <w:rFonts w:cs="Arial"/>
        <w:bCs/>
        <w:szCs w:val="22"/>
      </w:rPr>
      <w:t>IOC/</w:t>
    </w:r>
    <w:r w:rsidR="000723F0">
      <w:rPr>
        <w:rFonts w:cs="Arial"/>
        <w:bCs/>
        <w:szCs w:val="22"/>
      </w:rPr>
      <w:t>A-32/2.</w:t>
    </w:r>
    <w:proofErr w:type="gramStart"/>
    <w:r w:rsidR="000723F0">
      <w:rPr>
        <w:rFonts w:cs="Arial"/>
        <w:bCs/>
        <w:szCs w:val="22"/>
      </w:rPr>
      <w:t>1.Doc</w:t>
    </w:r>
    <w:proofErr w:type="gramEnd"/>
    <w:r w:rsidR="000723F0">
      <w:rPr>
        <w:rFonts w:cs="Arial"/>
        <w:bCs/>
        <w:szCs w:val="22"/>
      </w:rPr>
      <w:t xml:space="preserve">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03893BEF" w:rsidR="00755CED" w:rsidRDefault="000723F0" w:rsidP="000723F0">
    <w:pPr>
      <w:pStyle w:val="En-tte"/>
      <w:jc w:val="right"/>
    </w:pPr>
    <w:r w:rsidRPr="00352423">
      <w:rPr>
        <w:rFonts w:cs="Arial"/>
        <w:bCs/>
        <w:szCs w:val="22"/>
      </w:rPr>
      <w:t>IOC/</w:t>
    </w:r>
    <w:r>
      <w:rPr>
        <w:rFonts w:cs="Arial"/>
        <w:bCs/>
        <w:szCs w:val="22"/>
      </w:rPr>
      <w:t>A-32/2.</w:t>
    </w:r>
    <w:proofErr w:type="gramStart"/>
    <w:r>
      <w:rPr>
        <w:rFonts w:cs="Arial"/>
        <w:bCs/>
        <w:szCs w:val="22"/>
      </w:rPr>
      <w:t>1.Doc</w:t>
    </w:r>
    <w:proofErr w:type="gramEnd"/>
    <w:r>
      <w:rPr>
        <w:rFonts w:cs="Arial"/>
        <w:bCs/>
        <w:szCs w:val="22"/>
      </w:rPr>
      <w:t xml:space="preserve"> Prov. – page</w:t>
    </w:r>
    <w:r w:rsidR="00421E71">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En-tte"/>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5371FDB6"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1"/>
                          <w:r w:rsidR="00C3317D">
                            <w:rPr>
                              <w:rFonts w:cs="Arial"/>
                              <w:b/>
                              <w:sz w:val="36"/>
                              <w:szCs w:val="36"/>
                            </w:rPr>
                            <w:t>4</w:t>
                          </w:r>
                          <w:r w:rsidR="00F97E19">
                            <w:rPr>
                              <w:rFonts w:cs="Arial"/>
                              <w:b/>
                              <w:sz w:val="36"/>
                              <w:szCs w:val="36"/>
                            </w:rPr>
                            <w:t>.</w:t>
                          </w:r>
                          <w:proofErr w:type="gramStart"/>
                          <w:r w:rsidR="00C3317D">
                            <w:rPr>
                              <w:rFonts w:cs="Arial"/>
                              <w:b/>
                              <w:sz w:val="36"/>
                              <w:szCs w:val="36"/>
                            </w:rPr>
                            <w:t>12</w:t>
                          </w:r>
                          <w:r w:rsidR="00F97E19">
                            <w:rPr>
                              <w:rFonts w:cs="Arial"/>
                              <w:b/>
                              <w:sz w:val="36"/>
                              <w:szCs w:val="36"/>
                            </w:rPr>
                            <w:t>.Doc</w:t>
                          </w:r>
                          <w:proofErr w:type="gramEnd"/>
                          <w:r w:rsidR="00F97E19">
                            <w:rPr>
                              <w:rFonts w:cs="Arial"/>
                              <w:b/>
                              <w:sz w:val="36"/>
                              <w:szCs w:val="36"/>
                            </w:rPr>
                            <w:t>(1)</w:t>
                          </w:r>
                        </w:p>
                        <w:p w14:paraId="10A5E3DC" w14:textId="3402B75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C3317D">
                            <w:rPr>
                              <w:rFonts w:cs="Arial"/>
                              <w:szCs w:val="22"/>
                            </w:rPr>
                            <w:t>29</w:t>
                          </w:r>
                          <w:r w:rsidR="000723F0">
                            <w:rPr>
                              <w:rFonts w:cs="Arial"/>
                              <w:szCs w:val="22"/>
                            </w:rPr>
                            <w:t xml:space="preserve"> </w:t>
                          </w:r>
                          <w:r w:rsidR="00803653">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5371FDB6"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2"/>
                    <w:r w:rsidR="00C3317D">
                      <w:rPr>
                        <w:rFonts w:cs="Arial"/>
                        <w:b/>
                        <w:sz w:val="36"/>
                        <w:szCs w:val="36"/>
                      </w:rPr>
                      <w:t>4</w:t>
                    </w:r>
                    <w:r w:rsidR="00F97E19">
                      <w:rPr>
                        <w:rFonts w:cs="Arial"/>
                        <w:b/>
                        <w:sz w:val="36"/>
                        <w:szCs w:val="36"/>
                      </w:rPr>
                      <w:t>.</w:t>
                    </w:r>
                    <w:proofErr w:type="gramStart"/>
                    <w:r w:rsidR="00C3317D">
                      <w:rPr>
                        <w:rFonts w:cs="Arial"/>
                        <w:b/>
                        <w:sz w:val="36"/>
                        <w:szCs w:val="36"/>
                      </w:rPr>
                      <w:t>12</w:t>
                    </w:r>
                    <w:r w:rsidR="00F97E19">
                      <w:rPr>
                        <w:rFonts w:cs="Arial"/>
                        <w:b/>
                        <w:sz w:val="36"/>
                        <w:szCs w:val="36"/>
                      </w:rPr>
                      <w:t>.Doc</w:t>
                    </w:r>
                    <w:proofErr w:type="gramEnd"/>
                    <w:r w:rsidR="00F97E19">
                      <w:rPr>
                        <w:rFonts w:cs="Arial"/>
                        <w:b/>
                        <w:sz w:val="36"/>
                        <w:szCs w:val="36"/>
                      </w:rPr>
                      <w:t>(1)</w:t>
                    </w:r>
                  </w:p>
                  <w:p w14:paraId="10A5E3DC" w14:textId="3402B75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C3317D">
                      <w:rPr>
                        <w:rFonts w:cs="Arial"/>
                        <w:szCs w:val="22"/>
                      </w:rPr>
                      <w:t>29</w:t>
                    </w:r>
                    <w:r w:rsidR="000723F0">
                      <w:rPr>
                        <w:rFonts w:cs="Arial"/>
                        <w:szCs w:val="22"/>
                      </w:rPr>
                      <w:t xml:space="preserve"> </w:t>
                    </w:r>
                    <w:r w:rsidR="00803653">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387A" w14:textId="450D0BDD" w:rsidR="00367A77" w:rsidRPr="001E653E" w:rsidRDefault="00367A77" w:rsidP="00367A77">
    <w:pPr>
      <w:pStyle w:val="En-tte"/>
      <w:rPr>
        <w:rFonts w:cs="Arial"/>
        <w:bCs/>
        <w:szCs w:val="22"/>
      </w:rPr>
    </w:pPr>
    <w:r w:rsidRPr="00F3102D">
      <w:rPr>
        <w:rFonts w:cs="Arial"/>
        <w:bCs/>
        <w:szCs w:val="22"/>
      </w:rPr>
      <w:t>IOC</w:t>
    </w:r>
    <w:r w:rsidR="00104265">
      <w:rPr>
        <w:rFonts w:cs="Arial"/>
        <w:bCs/>
        <w:szCs w:val="22"/>
      </w:rPr>
      <w:t>/A</w:t>
    </w:r>
    <w:r w:rsidRPr="00F3102D">
      <w:rPr>
        <w:rFonts w:cs="Arial"/>
        <w:bCs/>
        <w:szCs w:val="22"/>
      </w:rPr>
      <w:t>-32/</w:t>
    </w:r>
    <w:r w:rsidR="00C3317D">
      <w:rPr>
        <w:rFonts w:cs="Arial"/>
        <w:bCs/>
        <w:szCs w:val="22"/>
      </w:rPr>
      <w:t>4</w:t>
    </w:r>
    <w:r w:rsidRPr="00F3102D">
      <w:rPr>
        <w:rFonts w:cs="Arial"/>
        <w:bCs/>
        <w:szCs w:val="22"/>
      </w:rPr>
      <w:t>.</w:t>
    </w:r>
    <w:proofErr w:type="gramStart"/>
    <w:r w:rsidRPr="00F3102D">
      <w:rPr>
        <w:rFonts w:cs="Arial"/>
        <w:bCs/>
        <w:szCs w:val="22"/>
      </w:rPr>
      <w:t>1</w:t>
    </w:r>
    <w:r w:rsidR="00C3317D">
      <w:rPr>
        <w:rFonts w:cs="Arial"/>
        <w:bCs/>
        <w:szCs w:val="22"/>
      </w:rPr>
      <w:t>2</w:t>
    </w:r>
    <w:r w:rsidRPr="00F3102D">
      <w:rPr>
        <w:rFonts w:cs="Arial"/>
        <w:bCs/>
        <w:szCs w:val="22"/>
      </w:rPr>
      <w:t>.Doc</w:t>
    </w:r>
    <w:proofErr w:type="gramEnd"/>
    <w:r w:rsidRPr="00F3102D">
      <w:rPr>
        <w:rFonts w:cs="Arial"/>
        <w:bCs/>
        <w:szCs w:val="22"/>
      </w:rPr>
      <w:t>(1)</w:t>
    </w:r>
  </w:p>
  <w:p w14:paraId="6EC37FF1" w14:textId="1907E94D" w:rsidR="002F3A57" w:rsidRPr="001C628E" w:rsidRDefault="00367A77" w:rsidP="001C628E">
    <w:pPr>
      <w:pStyle w:val="En-tte"/>
      <w:spacing w:after="120"/>
      <w:rPr>
        <w:rFonts w:asciiTheme="minorBidi" w:hAnsiTheme="minorBidi" w:cstheme="minorBidi"/>
        <w:noProof/>
        <w:szCs w:val="22"/>
      </w:rPr>
    </w:pPr>
    <w:proofErr w:type="gramStart"/>
    <w:r>
      <w:rPr>
        <w:rFonts w:asciiTheme="minorBidi" w:hAnsiTheme="minorBidi" w:cstheme="minorBidi"/>
        <w:szCs w:val="22"/>
      </w:rPr>
      <w:t>page</w:t>
    </w:r>
    <w:proofErr w:type="gramEnd"/>
    <w:r>
      <w:rPr>
        <w:rFonts w:asciiTheme="minorBidi" w:hAnsiTheme="minorBidi" w:cstheme="minorBidi"/>
        <w:szCs w:val="22"/>
      </w:rPr>
      <w:t xml:space="preserve"> </w:t>
    </w:r>
    <w:r w:rsidRPr="001E653E">
      <w:rPr>
        <w:rFonts w:asciiTheme="minorBidi" w:hAnsiTheme="minorBidi" w:cstheme="minorBidi"/>
        <w:szCs w:val="22"/>
      </w:rPr>
      <w:fldChar w:fldCharType="begin"/>
    </w:r>
    <w:r w:rsidRPr="001E653E">
      <w:rPr>
        <w:rFonts w:asciiTheme="minorBidi" w:hAnsiTheme="minorBidi" w:cstheme="minorBidi"/>
        <w:szCs w:val="22"/>
      </w:rPr>
      <w:instrText xml:space="preserve"> PAGE   \* MERGEFORMAT </w:instrText>
    </w:r>
    <w:r w:rsidRPr="001E653E">
      <w:rPr>
        <w:rFonts w:asciiTheme="minorBidi" w:hAnsiTheme="minorBidi" w:cstheme="minorBidi"/>
        <w:szCs w:val="22"/>
      </w:rPr>
      <w:fldChar w:fldCharType="separate"/>
    </w:r>
    <w:r>
      <w:rPr>
        <w:rFonts w:asciiTheme="minorBidi" w:hAnsiTheme="minorBidi" w:cstheme="minorBidi"/>
        <w:szCs w:val="22"/>
      </w:rPr>
      <w:t>4</w:t>
    </w:r>
    <w:r w:rsidRPr="001E653E">
      <w:rPr>
        <w:rFonts w:asciiTheme="minorBidi" w:hAnsiTheme="minorBidi" w:cstheme="minorBidi"/>
        <w:noProof/>
        <w:szCs w:val="22"/>
      </w:rPr>
      <w:fldChar w:fldCharType="end"/>
    </w:r>
    <w:r w:rsidR="002F3A57">
      <w:rPr>
        <w:noProof/>
      </w:rPr>
      <mc:AlternateContent>
        <mc:Choice Requires="wps">
          <w:drawing>
            <wp:anchor distT="45720" distB="45720" distL="114300" distR="114300" simplePos="0" relativeHeight="251671552" behindDoc="0" locked="0" layoutInCell="1" allowOverlap="1" wp14:anchorId="5D10337D" wp14:editId="519434D3">
              <wp:simplePos x="0" y="0"/>
              <wp:positionH relativeFrom="column">
                <wp:posOffset>8323069</wp:posOffset>
              </wp:positionH>
              <wp:positionV relativeFrom="paragraph">
                <wp:posOffset>1312129</wp:posOffset>
              </wp:positionV>
              <wp:extent cx="2156460" cy="272415"/>
              <wp:effectExtent l="8572" t="0" r="4763" b="4762"/>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264B5359" w14:textId="7E280B2D" w:rsidR="002F3A57" w:rsidRDefault="002F3A57" w:rsidP="002F3A57">
                          <w:r w:rsidRPr="00352423">
                            <w:rPr>
                              <w:rFonts w:cs="Arial"/>
                              <w:bCs/>
                              <w:szCs w:val="22"/>
                            </w:rPr>
                            <w:t>IOC/</w:t>
                          </w:r>
                          <w:r>
                            <w:rPr>
                              <w:rFonts w:cs="Arial"/>
                              <w:bCs/>
                              <w:szCs w:val="22"/>
                            </w:rPr>
                            <w:t>A-32/</w:t>
                          </w:r>
                          <w:r w:rsidR="00A83610">
                            <w:rPr>
                              <w:rFonts w:cs="Arial"/>
                              <w:bCs/>
                              <w:szCs w:val="22"/>
                            </w:rPr>
                            <w:t>6</w:t>
                          </w:r>
                          <w:r>
                            <w:rPr>
                              <w:rFonts w:cs="Arial"/>
                              <w:bCs/>
                              <w:szCs w:val="22"/>
                            </w:rPr>
                            <w:t>.</w:t>
                          </w:r>
                          <w:proofErr w:type="gramStart"/>
                          <w:r w:rsidR="00A83610">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0337D" id="_x0000_t202" coordsize="21600,21600" o:spt="202" path="m,l,21600r21600,l21600,xe">
              <v:stroke joinstyle="miter"/>
              <v:path gradientshapeok="t" o:connecttype="rect"/>
            </v:shapetype>
            <v:shape id="Zone de texte 6" o:spid="_x0000_s1027" type="#_x0000_t202" style="position:absolute;margin-left:655.35pt;margin-top:103.3pt;width:169.8pt;height:21.45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" stroked="f">
              <v:textbox>
                <w:txbxContent>
                  <w:p w14:paraId="264B5359" w14:textId="7E280B2D" w:rsidR="002F3A57" w:rsidRDefault="002F3A57" w:rsidP="002F3A57">
                    <w:r w:rsidRPr="00352423">
                      <w:rPr>
                        <w:rFonts w:cs="Arial"/>
                        <w:bCs/>
                        <w:szCs w:val="22"/>
                      </w:rPr>
                      <w:t>IOC/</w:t>
                    </w:r>
                    <w:r>
                      <w:rPr>
                        <w:rFonts w:cs="Arial"/>
                        <w:bCs/>
                        <w:szCs w:val="22"/>
                      </w:rPr>
                      <w:t>A-32/</w:t>
                    </w:r>
                    <w:r w:rsidR="00A83610">
                      <w:rPr>
                        <w:rFonts w:cs="Arial"/>
                        <w:bCs/>
                        <w:szCs w:val="22"/>
                      </w:rPr>
                      <w:t>6</w:t>
                    </w:r>
                    <w:r>
                      <w:rPr>
                        <w:rFonts w:cs="Arial"/>
                        <w:bCs/>
                        <w:szCs w:val="22"/>
                      </w:rPr>
                      <w:t>.</w:t>
                    </w:r>
                    <w:proofErr w:type="gramStart"/>
                    <w:r w:rsidR="00A83610">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CAAF" w14:textId="3297866A" w:rsidR="00367A77" w:rsidRPr="001E653E" w:rsidRDefault="00367A77" w:rsidP="00C3317D">
    <w:pPr>
      <w:pStyle w:val="En-tte"/>
      <w:ind w:left="7513" w:hanging="283"/>
      <w:rPr>
        <w:rFonts w:cs="Arial"/>
        <w:bCs/>
        <w:szCs w:val="22"/>
      </w:rPr>
    </w:pPr>
    <w:r w:rsidRPr="00F3102D">
      <w:rPr>
        <w:rFonts w:cs="Arial"/>
        <w:bCs/>
        <w:szCs w:val="22"/>
      </w:rPr>
      <w:t>IOC</w:t>
    </w:r>
    <w:r w:rsidR="00104265">
      <w:rPr>
        <w:rFonts w:cs="Arial"/>
        <w:bCs/>
        <w:szCs w:val="22"/>
      </w:rPr>
      <w:t>/A</w:t>
    </w:r>
    <w:r w:rsidRPr="00F3102D">
      <w:rPr>
        <w:rFonts w:cs="Arial"/>
        <w:bCs/>
        <w:szCs w:val="22"/>
      </w:rPr>
      <w:t>-32/</w:t>
    </w:r>
    <w:r w:rsidR="00C3317D">
      <w:rPr>
        <w:rFonts w:cs="Arial"/>
        <w:bCs/>
        <w:szCs w:val="22"/>
      </w:rPr>
      <w:t>4</w:t>
    </w:r>
    <w:r w:rsidRPr="00F3102D">
      <w:rPr>
        <w:rFonts w:cs="Arial"/>
        <w:bCs/>
        <w:szCs w:val="22"/>
      </w:rPr>
      <w:t>.</w:t>
    </w:r>
    <w:proofErr w:type="gramStart"/>
    <w:r w:rsidRPr="00F3102D">
      <w:rPr>
        <w:rFonts w:cs="Arial"/>
        <w:bCs/>
        <w:szCs w:val="22"/>
      </w:rPr>
      <w:t>1</w:t>
    </w:r>
    <w:r w:rsidR="00C3317D">
      <w:rPr>
        <w:rFonts w:cs="Arial"/>
        <w:bCs/>
        <w:szCs w:val="22"/>
      </w:rPr>
      <w:t>2</w:t>
    </w:r>
    <w:r w:rsidRPr="00F3102D">
      <w:rPr>
        <w:rFonts w:cs="Arial"/>
        <w:bCs/>
        <w:szCs w:val="22"/>
      </w:rPr>
      <w:t>.Doc</w:t>
    </w:r>
    <w:proofErr w:type="gramEnd"/>
    <w:r w:rsidRPr="00F3102D">
      <w:rPr>
        <w:rFonts w:cs="Arial"/>
        <w:bCs/>
        <w:szCs w:val="22"/>
      </w:rPr>
      <w:t>(1)</w:t>
    </w:r>
  </w:p>
  <w:p w14:paraId="0A19FD91" w14:textId="148A6080" w:rsidR="00367A77" w:rsidRPr="0011078E" w:rsidRDefault="00367A77" w:rsidP="001C628E">
    <w:pPr>
      <w:pStyle w:val="En-tte"/>
      <w:spacing w:after="120"/>
      <w:ind w:left="7230"/>
      <w:rPr>
        <w:rFonts w:asciiTheme="minorBidi" w:hAnsiTheme="minorBidi" w:cstheme="minorBidi"/>
        <w:noProof/>
        <w:szCs w:val="22"/>
      </w:rPr>
    </w:pPr>
    <w:proofErr w:type="gramStart"/>
    <w:r>
      <w:rPr>
        <w:rFonts w:asciiTheme="minorBidi" w:hAnsiTheme="minorBidi" w:cstheme="minorBidi"/>
        <w:szCs w:val="22"/>
      </w:rPr>
      <w:t>page</w:t>
    </w:r>
    <w:proofErr w:type="gramEnd"/>
    <w:r>
      <w:rPr>
        <w:rFonts w:asciiTheme="minorBidi" w:hAnsiTheme="minorBidi" w:cstheme="minorBidi"/>
        <w:szCs w:val="22"/>
      </w:rPr>
      <w:t xml:space="preserve"> </w:t>
    </w:r>
    <w:r w:rsidRPr="001E653E">
      <w:rPr>
        <w:rFonts w:asciiTheme="minorBidi" w:hAnsiTheme="minorBidi" w:cstheme="minorBidi"/>
        <w:szCs w:val="22"/>
      </w:rPr>
      <w:fldChar w:fldCharType="begin"/>
    </w:r>
    <w:r w:rsidRPr="001E653E">
      <w:rPr>
        <w:rFonts w:asciiTheme="minorBidi" w:hAnsiTheme="minorBidi" w:cstheme="minorBidi"/>
        <w:szCs w:val="22"/>
      </w:rPr>
      <w:instrText xml:space="preserve"> PAGE   \* MERGEFORMAT </w:instrText>
    </w:r>
    <w:r w:rsidRPr="001E653E">
      <w:rPr>
        <w:rFonts w:asciiTheme="minorBidi" w:hAnsiTheme="minorBidi" w:cstheme="minorBidi"/>
        <w:szCs w:val="22"/>
      </w:rPr>
      <w:fldChar w:fldCharType="separate"/>
    </w:r>
    <w:r>
      <w:rPr>
        <w:rFonts w:asciiTheme="minorBidi" w:hAnsiTheme="minorBidi" w:cstheme="minorBidi"/>
        <w:szCs w:val="22"/>
      </w:rPr>
      <w:t>4</w:t>
    </w:r>
    <w:r w:rsidRPr="001E653E">
      <w:rPr>
        <w:rFonts w:asciiTheme="minorBidi" w:hAnsiTheme="minorBidi" w:cstheme="minorBidi"/>
        <w:noProof/>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5ABB" w14:textId="0074B9C8" w:rsidR="00367A77" w:rsidRPr="001C628E" w:rsidRDefault="00367A77" w:rsidP="001C628E">
    <w:pPr>
      <w:pStyle w:val="En-tte"/>
      <w:ind w:left="7371"/>
      <w:rPr>
        <w:rFonts w:cs="Arial"/>
        <w:bCs/>
        <w:szCs w:val="22"/>
      </w:rPr>
    </w:pPr>
    <w:r w:rsidRPr="00F3102D">
      <w:rPr>
        <w:rFonts w:cs="Arial"/>
        <w:bCs/>
        <w:szCs w:val="22"/>
      </w:rPr>
      <w:t>IOC</w:t>
    </w:r>
    <w:r w:rsidR="00104265">
      <w:rPr>
        <w:rFonts w:cs="Arial"/>
        <w:bCs/>
        <w:szCs w:val="22"/>
      </w:rPr>
      <w:t>/A</w:t>
    </w:r>
    <w:r w:rsidRPr="00F3102D">
      <w:rPr>
        <w:rFonts w:cs="Arial"/>
        <w:bCs/>
        <w:szCs w:val="22"/>
      </w:rPr>
      <w:t>-32/</w:t>
    </w:r>
    <w:r w:rsidR="00C3317D">
      <w:rPr>
        <w:rFonts w:cs="Arial"/>
        <w:bCs/>
        <w:szCs w:val="22"/>
      </w:rPr>
      <w:t>4</w:t>
    </w:r>
    <w:r w:rsidRPr="00F3102D">
      <w:rPr>
        <w:rFonts w:cs="Arial"/>
        <w:bCs/>
        <w:szCs w:val="22"/>
      </w:rPr>
      <w:t>.</w:t>
    </w:r>
    <w:proofErr w:type="gramStart"/>
    <w:r w:rsidRPr="00F3102D">
      <w:rPr>
        <w:rFonts w:cs="Arial"/>
        <w:bCs/>
        <w:szCs w:val="22"/>
      </w:rPr>
      <w:t>1</w:t>
    </w:r>
    <w:r w:rsidR="00C3317D">
      <w:rPr>
        <w:rFonts w:cs="Arial"/>
        <w:bCs/>
        <w:szCs w:val="22"/>
      </w:rPr>
      <w:t>2</w:t>
    </w:r>
    <w:r w:rsidRPr="00F3102D">
      <w:rPr>
        <w:rFonts w:cs="Arial"/>
        <w:bCs/>
        <w:szCs w:val="22"/>
      </w:rPr>
      <w:t>.Doc</w:t>
    </w:r>
    <w:proofErr w:type="gramEnd"/>
    <w:r w:rsidRPr="00F3102D">
      <w:rPr>
        <w:rFonts w:cs="Arial"/>
        <w:bCs/>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22164FA3"/>
    <w:multiLevelType w:val="hybridMultilevel"/>
    <w:tmpl w:val="A506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87908"/>
    <w:multiLevelType w:val="hybridMultilevel"/>
    <w:tmpl w:val="5EB0ED52"/>
    <w:lvl w:ilvl="0" w:tplc="DDC685E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2F4A592A"/>
    <w:multiLevelType w:val="hybridMultilevel"/>
    <w:tmpl w:val="75FEF954"/>
    <w:lvl w:ilvl="0" w:tplc="7130C9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41848"/>
    <w:multiLevelType w:val="hybridMultilevel"/>
    <w:tmpl w:val="2B6C5CB6"/>
    <w:lvl w:ilvl="0" w:tplc="0D3C224E">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7502A"/>
    <w:multiLevelType w:val="hybridMultilevel"/>
    <w:tmpl w:val="EAA8E442"/>
    <w:lvl w:ilvl="0" w:tplc="6DBC366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9" w15:restartNumberingAfterBreak="0">
    <w:nsid w:val="48250201"/>
    <w:multiLevelType w:val="hybridMultilevel"/>
    <w:tmpl w:val="9BDE430C"/>
    <w:lvl w:ilvl="0" w:tplc="74EE732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1"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53150F"/>
    <w:multiLevelType w:val="hybridMultilevel"/>
    <w:tmpl w:val="9B14B30E"/>
    <w:lvl w:ilvl="0" w:tplc="A406FE4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846369">
    <w:abstractNumId w:val="0"/>
  </w:num>
  <w:num w:numId="2" w16cid:durableId="1115710408">
    <w:abstractNumId w:val="7"/>
  </w:num>
  <w:num w:numId="3" w16cid:durableId="1955213118">
    <w:abstractNumId w:val="8"/>
  </w:num>
  <w:num w:numId="4" w16cid:durableId="701898349">
    <w:abstractNumId w:val="5"/>
  </w:num>
  <w:num w:numId="5" w16cid:durableId="1730569580">
    <w:abstractNumId w:val="11"/>
  </w:num>
  <w:num w:numId="6" w16cid:durableId="1350908652">
    <w:abstractNumId w:val="13"/>
  </w:num>
  <w:num w:numId="7" w16cid:durableId="749692511">
    <w:abstractNumId w:val="9"/>
  </w:num>
  <w:num w:numId="8" w16cid:durableId="1809012436">
    <w:abstractNumId w:val="6"/>
  </w:num>
  <w:num w:numId="9" w16cid:durableId="1660382262">
    <w:abstractNumId w:val="12"/>
  </w:num>
  <w:num w:numId="10" w16cid:durableId="1352996092">
    <w:abstractNumId w:val="10"/>
  </w:num>
  <w:num w:numId="11" w16cid:durableId="751583942">
    <w:abstractNumId w:val="4"/>
  </w:num>
  <w:num w:numId="12" w16cid:durableId="480122754">
    <w:abstractNumId w:val="2"/>
  </w:num>
  <w:num w:numId="13" w16cid:durableId="719862489">
    <w:abstractNumId w:val="1"/>
  </w:num>
  <w:num w:numId="14" w16cid:durableId="62666928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40484"/>
    <w:rsid w:val="000723F0"/>
    <w:rsid w:val="000763CE"/>
    <w:rsid w:val="00087E40"/>
    <w:rsid w:val="00093B4C"/>
    <w:rsid w:val="000B0E4E"/>
    <w:rsid w:val="000C0EDD"/>
    <w:rsid w:val="000D2E63"/>
    <w:rsid w:val="000D39FC"/>
    <w:rsid w:val="000D4E4C"/>
    <w:rsid w:val="000E0597"/>
    <w:rsid w:val="000E7AEA"/>
    <w:rsid w:val="000F189F"/>
    <w:rsid w:val="000F1DBA"/>
    <w:rsid w:val="000F258B"/>
    <w:rsid w:val="00100A35"/>
    <w:rsid w:val="00104265"/>
    <w:rsid w:val="0011078E"/>
    <w:rsid w:val="0011081B"/>
    <w:rsid w:val="0011114C"/>
    <w:rsid w:val="00151B65"/>
    <w:rsid w:val="00161FD3"/>
    <w:rsid w:val="00166018"/>
    <w:rsid w:val="00177B08"/>
    <w:rsid w:val="001912E2"/>
    <w:rsid w:val="00191E6D"/>
    <w:rsid w:val="001A6E27"/>
    <w:rsid w:val="001B1BB0"/>
    <w:rsid w:val="001B4417"/>
    <w:rsid w:val="001B623F"/>
    <w:rsid w:val="001B6892"/>
    <w:rsid w:val="001C6211"/>
    <w:rsid w:val="001C628E"/>
    <w:rsid w:val="001D6AB2"/>
    <w:rsid w:val="001E0436"/>
    <w:rsid w:val="001E413E"/>
    <w:rsid w:val="001F1F04"/>
    <w:rsid w:val="001F5D62"/>
    <w:rsid w:val="00201171"/>
    <w:rsid w:val="00213953"/>
    <w:rsid w:val="00214642"/>
    <w:rsid w:val="0023225E"/>
    <w:rsid w:val="00234C33"/>
    <w:rsid w:val="0024382E"/>
    <w:rsid w:val="00243DFC"/>
    <w:rsid w:val="00251A54"/>
    <w:rsid w:val="00261E65"/>
    <w:rsid w:val="002750C1"/>
    <w:rsid w:val="0028206F"/>
    <w:rsid w:val="0029117F"/>
    <w:rsid w:val="0029119E"/>
    <w:rsid w:val="002924C9"/>
    <w:rsid w:val="0029264C"/>
    <w:rsid w:val="00292A0F"/>
    <w:rsid w:val="00297D4A"/>
    <w:rsid w:val="002B4B18"/>
    <w:rsid w:val="002B5DD7"/>
    <w:rsid w:val="002C2048"/>
    <w:rsid w:val="002D2C1D"/>
    <w:rsid w:val="002E70A1"/>
    <w:rsid w:val="002F3A57"/>
    <w:rsid w:val="00302497"/>
    <w:rsid w:val="00310E5D"/>
    <w:rsid w:val="00311ECE"/>
    <w:rsid w:val="003210F7"/>
    <w:rsid w:val="0032163E"/>
    <w:rsid w:val="00325A64"/>
    <w:rsid w:val="00331445"/>
    <w:rsid w:val="003341B0"/>
    <w:rsid w:val="00340F34"/>
    <w:rsid w:val="0034355C"/>
    <w:rsid w:val="003445DF"/>
    <w:rsid w:val="00346C46"/>
    <w:rsid w:val="003514D2"/>
    <w:rsid w:val="0035177B"/>
    <w:rsid w:val="003557A8"/>
    <w:rsid w:val="00360992"/>
    <w:rsid w:val="00363D04"/>
    <w:rsid w:val="00367A77"/>
    <w:rsid w:val="00367DB0"/>
    <w:rsid w:val="003829C6"/>
    <w:rsid w:val="003927A3"/>
    <w:rsid w:val="003966BA"/>
    <w:rsid w:val="00397DEC"/>
    <w:rsid w:val="003B2A8F"/>
    <w:rsid w:val="003B53FF"/>
    <w:rsid w:val="003B58D6"/>
    <w:rsid w:val="003B69D0"/>
    <w:rsid w:val="003B71EB"/>
    <w:rsid w:val="003C5CD1"/>
    <w:rsid w:val="003D3C1F"/>
    <w:rsid w:val="003D46DA"/>
    <w:rsid w:val="003D4875"/>
    <w:rsid w:val="003E2147"/>
    <w:rsid w:val="003E27AC"/>
    <w:rsid w:val="003E714B"/>
    <w:rsid w:val="003F3C42"/>
    <w:rsid w:val="003F589A"/>
    <w:rsid w:val="003F7C04"/>
    <w:rsid w:val="00401C01"/>
    <w:rsid w:val="0041299F"/>
    <w:rsid w:val="00421E71"/>
    <w:rsid w:val="00424C85"/>
    <w:rsid w:val="0042640D"/>
    <w:rsid w:val="004573F3"/>
    <w:rsid w:val="004618DE"/>
    <w:rsid w:val="00463EA2"/>
    <w:rsid w:val="004655C4"/>
    <w:rsid w:val="00465EE6"/>
    <w:rsid w:val="00472E41"/>
    <w:rsid w:val="00482B2E"/>
    <w:rsid w:val="00484032"/>
    <w:rsid w:val="00491E44"/>
    <w:rsid w:val="00494C58"/>
    <w:rsid w:val="004A327F"/>
    <w:rsid w:val="004A3DAD"/>
    <w:rsid w:val="004A43DC"/>
    <w:rsid w:val="004B08C6"/>
    <w:rsid w:val="004C1526"/>
    <w:rsid w:val="004C1D3F"/>
    <w:rsid w:val="004C3E47"/>
    <w:rsid w:val="004D05D2"/>
    <w:rsid w:val="004D0F08"/>
    <w:rsid w:val="004E41CA"/>
    <w:rsid w:val="004E4665"/>
    <w:rsid w:val="004E56D5"/>
    <w:rsid w:val="004E6746"/>
    <w:rsid w:val="004F3D3D"/>
    <w:rsid w:val="004F6F06"/>
    <w:rsid w:val="00513180"/>
    <w:rsid w:val="00513CFC"/>
    <w:rsid w:val="005169D0"/>
    <w:rsid w:val="00516B7B"/>
    <w:rsid w:val="00533732"/>
    <w:rsid w:val="005561D9"/>
    <w:rsid w:val="00587870"/>
    <w:rsid w:val="00593E88"/>
    <w:rsid w:val="00596B7E"/>
    <w:rsid w:val="005B5EF5"/>
    <w:rsid w:val="005B6800"/>
    <w:rsid w:val="005B69EF"/>
    <w:rsid w:val="005C112C"/>
    <w:rsid w:val="005C118A"/>
    <w:rsid w:val="005C7D01"/>
    <w:rsid w:val="005D54DD"/>
    <w:rsid w:val="005D6192"/>
    <w:rsid w:val="005E57C9"/>
    <w:rsid w:val="006046D3"/>
    <w:rsid w:val="00615F9D"/>
    <w:rsid w:val="00623957"/>
    <w:rsid w:val="00632A9F"/>
    <w:rsid w:val="00642C0C"/>
    <w:rsid w:val="00654E67"/>
    <w:rsid w:val="00655725"/>
    <w:rsid w:val="006565BE"/>
    <w:rsid w:val="00673F0C"/>
    <w:rsid w:val="006835E4"/>
    <w:rsid w:val="0068583F"/>
    <w:rsid w:val="00695BA3"/>
    <w:rsid w:val="0069684F"/>
    <w:rsid w:val="006A3031"/>
    <w:rsid w:val="006A7102"/>
    <w:rsid w:val="006B0247"/>
    <w:rsid w:val="006B216F"/>
    <w:rsid w:val="006C2C65"/>
    <w:rsid w:val="006C5D80"/>
    <w:rsid w:val="006D052A"/>
    <w:rsid w:val="006D36DB"/>
    <w:rsid w:val="006D6768"/>
    <w:rsid w:val="006E0F3D"/>
    <w:rsid w:val="006E2A83"/>
    <w:rsid w:val="0072647C"/>
    <w:rsid w:val="007308FC"/>
    <w:rsid w:val="00732CF3"/>
    <w:rsid w:val="007449EA"/>
    <w:rsid w:val="00753AFA"/>
    <w:rsid w:val="00755A0C"/>
    <w:rsid w:val="00755CED"/>
    <w:rsid w:val="0076217F"/>
    <w:rsid w:val="00764251"/>
    <w:rsid w:val="00767B01"/>
    <w:rsid w:val="007701CE"/>
    <w:rsid w:val="007718F4"/>
    <w:rsid w:val="00773D5C"/>
    <w:rsid w:val="0077582B"/>
    <w:rsid w:val="00783CE9"/>
    <w:rsid w:val="0078472E"/>
    <w:rsid w:val="007967A2"/>
    <w:rsid w:val="007A3E25"/>
    <w:rsid w:val="007A42DA"/>
    <w:rsid w:val="007A45CC"/>
    <w:rsid w:val="007A49EB"/>
    <w:rsid w:val="007A7EC6"/>
    <w:rsid w:val="007B3B0A"/>
    <w:rsid w:val="007C403E"/>
    <w:rsid w:val="007D593C"/>
    <w:rsid w:val="007E49BC"/>
    <w:rsid w:val="007E49D1"/>
    <w:rsid w:val="007E6082"/>
    <w:rsid w:val="007F2BA5"/>
    <w:rsid w:val="00803653"/>
    <w:rsid w:val="00814042"/>
    <w:rsid w:val="00814BE9"/>
    <w:rsid w:val="00823597"/>
    <w:rsid w:val="00835BC3"/>
    <w:rsid w:val="008507E1"/>
    <w:rsid w:val="0085153D"/>
    <w:rsid w:val="00853A2A"/>
    <w:rsid w:val="008561DD"/>
    <w:rsid w:val="008608E4"/>
    <w:rsid w:val="00864B92"/>
    <w:rsid w:val="00871764"/>
    <w:rsid w:val="008735A8"/>
    <w:rsid w:val="00873BED"/>
    <w:rsid w:val="00881EB4"/>
    <w:rsid w:val="008852E4"/>
    <w:rsid w:val="008A6802"/>
    <w:rsid w:val="008B1290"/>
    <w:rsid w:val="008C24D0"/>
    <w:rsid w:val="008C2B13"/>
    <w:rsid w:val="008C59A5"/>
    <w:rsid w:val="008D21CE"/>
    <w:rsid w:val="00900028"/>
    <w:rsid w:val="00902342"/>
    <w:rsid w:val="009045C4"/>
    <w:rsid w:val="00904C98"/>
    <w:rsid w:val="009053BE"/>
    <w:rsid w:val="009063B7"/>
    <w:rsid w:val="00907D3B"/>
    <w:rsid w:val="009173FE"/>
    <w:rsid w:val="00920B40"/>
    <w:rsid w:val="0092634C"/>
    <w:rsid w:val="00932970"/>
    <w:rsid w:val="00936EC5"/>
    <w:rsid w:val="00945651"/>
    <w:rsid w:val="00953CC8"/>
    <w:rsid w:val="00954002"/>
    <w:rsid w:val="00972BBF"/>
    <w:rsid w:val="00976F6B"/>
    <w:rsid w:val="0098415A"/>
    <w:rsid w:val="0099559C"/>
    <w:rsid w:val="009B69C2"/>
    <w:rsid w:val="009C605F"/>
    <w:rsid w:val="009D667F"/>
    <w:rsid w:val="009E53F6"/>
    <w:rsid w:val="009E6CEB"/>
    <w:rsid w:val="009F6758"/>
    <w:rsid w:val="00A00B63"/>
    <w:rsid w:val="00A01F17"/>
    <w:rsid w:val="00A029EA"/>
    <w:rsid w:val="00A0637E"/>
    <w:rsid w:val="00A22A0A"/>
    <w:rsid w:val="00A22A86"/>
    <w:rsid w:val="00A23875"/>
    <w:rsid w:val="00A33021"/>
    <w:rsid w:val="00A36041"/>
    <w:rsid w:val="00A44962"/>
    <w:rsid w:val="00A56AFA"/>
    <w:rsid w:val="00A645B3"/>
    <w:rsid w:val="00A70F48"/>
    <w:rsid w:val="00A718D1"/>
    <w:rsid w:val="00A83610"/>
    <w:rsid w:val="00AE406B"/>
    <w:rsid w:val="00AF401F"/>
    <w:rsid w:val="00AF5FB6"/>
    <w:rsid w:val="00AF719F"/>
    <w:rsid w:val="00B10702"/>
    <w:rsid w:val="00B143FE"/>
    <w:rsid w:val="00B243F2"/>
    <w:rsid w:val="00B2519D"/>
    <w:rsid w:val="00B32BC4"/>
    <w:rsid w:val="00B33A92"/>
    <w:rsid w:val="00B35712"/>
    <w:rsid w:val="00B43F8C"/>
    <w:rsid w:val="00B54018"/>
    <w:rsid w:val="00B54421"/>
    <w:rsid w:val="00B557FF"/>
    <w:rsid w:val="00B60FF6"/>
    <w:rsid w:val="00B63A05"/>
    <w:rsid w:val="00B7042B"/>
    <w:rsid w:val="00B80382"/>
    <w:rsid w:val="00B872CA"/>
    <w:rsid w:val="00BB352A"/>
    <w:rsid w:val="00BC0383"/>
    <w:rsid w:val="00BC1245"/>
    <w:rsid w:val="00BD4DD2"/>
    <w:rsid w:val="00BD5A86"/>
    <w:rsid w:val="00BD661E"/>
    <w:rsid w:val="00BD7DC8"/>
    <w:rsid w:val="00BE1269"/>
    <w:rsid w:val="00BE3F20"/>
    <w:rsid w:val="00BE7D3B"/>
    <w:rsid w:val="00BF0D41"/>
    <w:rsid w:val="00C01DBD"/>
    <w:rsid w:val="00C04D19"/>
    <w:rsid w:val="00C0567E"/>
    <w:rsid w:val="00C05FC8"/>
    <w:rsid w:val="00C108A8"/>
    <w:rsid w:val="00C138E0"/>
    <w:rsid w:val="00C23847"/>
    <w:rsid w:val="00C2691F"/>
    <w:rsid w:val="00C3317D"/>
    <w:rsid w:val="00C3501E"/>
    <w:rsid w:val="00C37D17"/>
    <w:rsid w:val="00C41845"/>
    <w:rsid w:val="00C42C78"/>
    <w:rsid w:val="00C461E5"/>
    <w:rsid w:val="00C47877"/>
    <w:rsid w:val="00C5482F"/>
    <w:rsid w:val="00C70815"/>
    <w:rsid w:val="00C741FC"/>
    <w:rsid w:val="00C84B6A"/>
    <w:rsid w:val="00C85548"/>
    <w:rsid w:val="00C90FAD"/>
    <w:rsid w:val="00C91036"/>
    <w:rsid w:val="00C97B94"/>
    <w:rsid w:val="00CA1880"/>
    <w:rsid w:val="00CA38AC"/>
    <w:rsid w:val="00CA48CF"/>
    <w:rsid w:val="00CC085D"/>
    <w:rsid w:val="00CC3A67"/>
    <w:rsid w:val="00CC4DBC"/>
    <w:rsid w:val="00CC501A"/>
    <w:rsid w:val="00CD0E13"/>
    <w:rsid w:val="00CD2F4F"/>
    <w:rsid w:val="00CD43CE"/>
    <w:rsid w:val="00CD630D"/>
    <w:rsid w:val="00CE1DBC"/>
    <w:rsid w:val="00CE5093"/>
    <w:rsid w:val="00CE7C2F"/>
    <w:rsid w:val="00CF4E7C"/>
    <w:rsid w:val="00CF5D97"/>
    <w:rsid w:val="00D00424"/>
    <w:rsid w:val="00D06516"/>
    <w:rsid w:val="00D23B0B"/>
    <w:rsid w:val="00D23EDD"/>
    <w:rsid w:val="00D302AD"/>
    <w:rsid w:val="00D43F7D"/>
    <w:rsid w:val="00D4515E"/>
    <w:rsid w:val="00D67001"/>
    <w:rsid w:val="00D70881"/>
    <w:rsid w:val="00D85497"/>
    <w:rsid w:val="00D86646"/>
    <w:rsid w:val="00D87003"/>
    <w:rsid w:val="00D93FC1"/>
    <w:rsid w:val="00DA71B9"/>
    <w:rsid w:val="00DB1210"/>
    <w:rsid w:val="00DC0D15"/>
    <w:rsid w:val="00DC1F0C"/>
    <w:rsid w:val="00DC7F96"/>
    <w:rsid w:val="00DD53BA"/>
    <w:rsid w:val="00DD6E32"/>
    <w:rsid w:val="00DE4018"/>
    <w:rsid w:val="00DF1829"/>
    <w:rsid w:val="00E01757"/>
    <w:rsid w:val="00E06DA9"/>
    <w:rsid w:val="00E171A1"/>
    <w:rsid w:val="00E174A3"/>
    <w:rsid w:val="00E230C3"/>
    <w:rsid w:val="00E2462D"/>
    <w:rsid w:val="00E3352D"/>
    <w:rsid w:val="00E4106F"/>
    <w:rsid w:val="00E44C72"/>
    <w:rsid w:val="00E45728"/>
    <w:rsid w:val="00E55EEC"/>
    <w:rsid w:val="00E5717B"/>
    <w:rsid w:val="00E621C7"/>
    <w:rsid w:val="00E62C51"/>
    <w:rsid w:val="00E65D5E"/>
    <w:rsid w:val="00E7085A"/>
    <w:rsid w:val="00E71F05"/>
    <w:rsid w:val="00E80CF6"/>
    <w:rsid w:val="00E912CA"/>
    <w:rsid w:val="00EB3895"/>
    <w:rsid w:val="00EC4D1B"/>
    <w:rsid w:val="00ED39E0"/>
    <w:rsid w:val="00EF374E"/>
    <w:rsid w:val="00EF5EE0"/>
    <w:rsid w:val="00F017CE"/>
    <w:rsid w:val="00F02EA8"/>
    <w:rsid w:val="00F04FBD"/>
    <w:rsid w:val="00F077E7"/>
    <w:rsid w:val="00F12358"/>
    <w:rsid w:val="00F31EDD"/>
    <w:rsid w:val="00F639A6"/>
    <w:rsid w:val="00F74AA3"/>
    <w:rsid w:val="00F8500B"/>
    <w:rsid w:val="00F85B2D"/>
    <w:rsid w:val="00F90CD8"/>
    <w:rsid w:val="00F92310"/>
    <w:rsid w:val="00F94805"/>
    <w:rsid w:val="00F97E19"/>
    <w:rsid w:val="00FB3EC4"/>
    <w:rsid w:val="00FC7B23"/>
    <w:rsid w:val="00FD010D"/>
    <w:rsid w:val="00FD098D"/>
    <w:rsid w:val="00FD630B"/>
    <w:rsid w:val="00FE28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link w:val="Titre1Car"/>
    <w:uiPriority w:val="9"/>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link w:val="Titre2Car"/>
    <w:uiPriority w:val="9"/>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link w:val="Titre3Car"/>
    <w:uiPriority w:val="9"/>
    <w:qFormat/>
    <w:pPr>
      <w:keepNext/>
      <w:keepLines/>
      <w:spacing w:after="240"/>
      <w:ind w:left="567" w:hanging="567"/>
      <w:outlineLvl w:val="2"/>
    </w:pPr>
    <w:rPr>
      <w:rFonts w:eastAsia="Times New Roman"/>
      <w:b/>
      <w:bCs/>
      <w:lang w:eastAsia="en-US"/>
    </w:rPr>
  </w:style>
  <w:style w:type="paragraph" w:styleId="Titre4">
    <w:name w:val="heading 4"/>
    <w:basedOn w:val="Normal"/>
    <w:next w:val="Marge"/>
    <w:link w:val="Titre4Car"/>
    <w:uiPriority w:val="9"/>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link w:val="Titre7Car"/>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uiPriority w:val="99"/>
    <w:qFormat/>
    <w:pPr>
      <w:ind w:firstLine="0"/>
    </w:p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Pieddepage">
    <w:name w:val="footer"/>
    <w:basedOn w:val="Normal"/>
    <w:link w:val="PieddepageCar"/>
    <w:uiPriority w:val="99"/>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1"/>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A36041"/>
    <w:rPr>
      <w:rFonts w:ascii="Tahoma" w:hAnsi="Tahoma" w:cs="Tahoma"/>
      <w:sz w:val="16"/>
      <w:szCs w:val="16"/>
    </w:rPr>
  </w:style>
  <w:style w:type="character" w:customStyle="1" w:styleId="TextedebullesCar">
    <w:name w:val="Texte de bulles Car"/>
    <w:link w:val="Textedebulles"/>
    <w:uiPriority w:val="99"/>
    <w:rsid w:val="00A36041"/>
    <w:rPr>
      <w:rFonts w:ascii="Tahoma" w:hAnsi="Tahoma" w:cs="Tahoma"/>
      <w:snapToGrid w:val="0"/>
      <w:sz w:val="16"/>
      <w:szCs w:val="16"/>
      <w:lang w:eastAsia="zh-CN"/>
    </w:rPr>
  </w:style>
  <w:style w:type="paragraph" w:styleId="Corpsdetexte">
    <w:name w:val="Body Text"/>
    <w:basedOn w:val="Normal"/>
    <w:link w:val="CorpsdetexteCar"/>
    <w:uiPriority w:val="1"/>
    <w:qFormat/>
    <w:rsid w:val="005169D0"/>
    <w:pPr>
      <w:spacing w:after="120"/>
    </w:pPr>
  </w:style>
  <w:style w:type="character" w:customStyle="1" w:styleId="CorpsdetexteCar">
    <w:name w:val="Corps de texte Car"/>
    <w:link w:val="Corpsdetexte"/>
    <w:uiPriority w:val="1"/>
    <w:rsid w:val="005169D0"/>
    <w:rPr>
      <w:rFonts w:ascii="Arial" w:hAnsi="Arial"/>
      <w:snapToGrid w:val="0"/>
      <w:sz w:val="22"/>
      <w:szCs w:val="24"/>
    </w:rPr>
  </w:style>
  <w:style w:type="paragraph" w:styleId="Paragraphedeliste">
    <w:name w:val="List Paragraph"/>
    <w:basedOn w:val="Normal"/>
    <w:uiPriority w:val="1"/>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uiPriority w:val="22"/>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uiPriority w:val="1"/>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uiPriority w:val="1"/>
    <w:rsid w:val="007A7EC6"/>
    <w:rPr>
      <w:rFonts w:eastAsia="Times New Roman"/>
      <w:sz w:val="24"/>
      <w:szCs w:val="24"/>
      <w:lang w:eastAsia="fr-FR"/>
    </w:rPr>
  </w:style>
  <w:style w:type="character" w:styleId="Lienhypertextesuivivisit">
    <w:name w:val="FollowedHyperlink"/>
    <w:uiPriority w:val="99"/>
    <w:rsid w:val="007A7EC6"/>
    <w:rPr>
      <w:color w:val="800080"/>
      <w:u w:val="single"/>
    </w:rPr>
  </w:style>
  <w:style w:type="character" w:customStyle="1" w:styleId="fn">
    <w:name w:val="fn"/>
    <w:basedOn w:val="Policepardfaut"/>
    <w:rsid w:val="007A7EC6"/>
  </w:style>
  <w:style w:type="character" w:styleId="Marquedecommentaire">
    <w:name w:val="annotation reference"/>
    <w:uiPriority w:val="99"/>
    <w:rsid w:val="007A7EC6"/>
    <w:rPr>
      <w:sz w:val="16"/>
      <w:szCs w:val="16"/>
    </w:rPr>
  </w:style>
  <w:style w:type="paragraph" w:styleId="Commentaire">
    <w:name w:val="annotation text"/>
    <w:basedOn w:val="Normal"/>
    <w:link w:val="CommentaireCar"/>
    <w:uiPriority w:val="99"/>
    <w:qFormat/>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uiPriority w:val="99"/>
    <w:qFormat/>
    <w:rsid w:val="007A7EC6"/>
    <w:rPr>
      <w:rFonts w:eastAsia="Times New Roman"/>
      <w:lang w:val="en-US" w:eastAsia="en-US"/>
    </w:rPr>
  </w:style>
  <w:style w:type="paragraph" w:styleId="Objetducommentaire">
    <w:name w:val="annotation subject"/>
    <w:basedOn w:val="Commentaire"/>
    <w:next w:val="Commentaire"/>
    <w:link w:val="ObjetducommentaireCar"/>
    <w:uiPriority w:val="99"/>
    <w:rsid w:val="007A7EC6"/>
    <w:rPr>
      <w:b/>
      <w:bCs/>
      <w:lang w:val="x-none" w:eastAsia="x-none"/>
    </w:rPr>
  </w:style>
  <w:style w:type="character" w:customStyle="1" w:styleId="ObjetducommentaireCar">
    <w:name w:val="Objet du commentaire Car"/>
    <w:basedOn w:val="CommentaireCar"/>
    <w:link w:val="Objetducommentaire"/>
    <w:uiPriority w:val="99"/>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uiPriority w:val="99"/>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uiPriority w:val="99"/>
    <w:rsid w:val="007A7EC6"/>
    <w:rPr>
      <w:rFonts w:eastAsia="Times New Roman"/>
      <w:lang w:val="en-US" w:eastAsia="en-US"/>
    </w:rPr>
  </w:style>
  <w:style w:type="character" w:styleId="Appeldenotedefin">
    <w:name w:val="endnote reference"/>
    <w:uiPriority w:val="99"/>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character" w:customStyle="1" w:styleId="Titre1Car">
    <w:name w:val="Titre 1 Car"/>
    <w:basedOn w:val="Policepardfaut"/>
    <w:link w:val="Titre1"/>
    <w:uiPriority w:val="9"/>
    <w:rsid w:val="00191E6D"/>
    <w:rPr>
      <w:rFonts w:ascii="Arial" w:eastAsia="Times New Roman" w:hAnsi="Arial"/>
      <w:b/>
      <w:bCs/>
      <w:snapToGrid w:val="0"/>
      <w:kern w:val="28"/>
      <w:sz w:val="22"/>
      <w:szCs w:val="24"/>
      <w:lang w:eastAsia="en-US"/>
    </w:rPr>
  </w:style>
  <w:style w:type="character" w:customStyle="1" w:styleId="MargeChar">
    <w:name w:val="Marge Char"/>
    <w:link w:val="Marge"/>
    <w:rsid w:val="00191E6D"/>
    <w:rPr>
      <w:rFonts w:ascii="Arial" w:eastAsia="Times New Roman" w:hAnsi="Arial"/>
      <w:snapToGrid w:val="0"/>
      <w:sz w:val="22"/>
      <w:szCs w:val="24"/>
      <w:lang w:eastAsia="en-US"/>
    </w:rPr>
  </w:style>
  <w:style w:type="character" w:customStyle="1" w:styleId="Stylepersonneldecomposition">
    <w:name w:val="Style personnel de composition"/>
    <w:rsid w:val="00B43F8C"/>
    <w:rPr>
      <w:rFonts w:ascii="Arial" w:hAnsi="Arial" w:cs="Arial"/>
      <w:color w:val="auto"/>
      <w:sz w:val="20"/>
    </w:rPr>
  </w:style>
  <w:style w:type="character" w:customStyle="1" w:styleId="Stylepersonnelderponse">
    <w:name w:val="Style personnel de réponse"/>
    <w:rsid w:val="00B43F8C"/>
    <w:rPr>
      <w:rFonts w:ascii="Arial" w:hAnsi="Arial" w:cs="Arial"/>
      <w:color w:val="auto"/>
      <w:sz w:val="20"/>
    </w:rPr>
  </w:style>
  <w:style w:type="character" w:styleId="Mentionnonrsolue">
    <w:name w:val="Unresolved Mention"/>
    <w:basedOn w:val="Policepardfaut"/>
    <w:uiPriority w:val="99"/>
    <w:semiHidden/>
    <w:unhideWhenUsed/>
    <w:rsid w:val="00B43F8C"/>
    <w:rPr>
      <w:color w:val="605E5C"/>
      <w:shd w:val="clear" w:color="auto" w:fill="E1DFDD"/>
    </w:rPr>
  </w:style>
  <w:style w:type="character" w:customStyle="1" w:styleId="Titre2Car">
    <w:name w:val="Titre 2 Car"/>
    <w:basedOn w:val="Policepardfaut"/>
    <w:link w:val="Titre2"/>
    <w:uiPriority w:val="9"/>
    <w:rsid w:val="00B43F8C"/>
    <w:rPr>
      <w:rFonts w:ascii="Arial" w:eastAsia="Times New Roman" w:hAnsi="Arial"/>
      <w:b/>
      <w:bCs/>
      <w:caps/>
      <w:snapToGrid w:val="0"/>
      <w:sz w:val="22"/>
      <w:szCs w:val="24"/>
      <w:lang w:eastAsia="en-US"/>
    </w:rPr>
  </w:style>
  <w:style w:type="character" w:customStyle="1" w:styleId="Titre3Car">
    <w:name w:val="Titre 3 Car"/>
    <w:basedOn w:val="Policepardfaut"/>
    <w:link w:val="Titre3"/>
    <w:uiPriority w:val="9"/>
    <w:rsid w:val="00B43F8C"/>
    <w:rPr>
      <w:rFonts w:ascii="Arial" w:eastAsia="Times New Roman" w:hAnsi="Arial"/>
      <w:b/>
      <w:bCs/>
      <w:snapToGrid w:val="0"/>
      <w:sz w:val="22"/>
      <w:szCs w:val="24"/>
      <w:lang w:eastAsia="en-US"/>
    </w:rPr>
  </w:style>
  <w:style w:type="table" w:customStyle="1" w:styleId="Grilledutableau1">
    <w:name w:val="Grille du tableau1"/>
    <w:basedOn w:val="TableauNormal"/>
    <w:next w:val="Grilledutableau"/>
    <w:uiPriority w:val="39"/>
    <w:rsid w:val="00B43F8C"/>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uiPriority w:val="99"/>
    <w:semiHidden/>
    <w:unhideWhenUsed/>
    <w:rsid w:val="00B43F8C"/>
    <w:pPr>
      <w:widowControl w:val="0"/>
      <w:tabs>
        <w:tab w:val="clear" w:pos="567"/>
      </w:tabs>
      <w:snapToGrid/>
    </w:pPr>
    <w:rPr>
      <w:rFonts w:ascii="Segoe UI" w:eastAsia="Times New Roman" w:hAnsi="Segoe UI" w:cs="Segoe UI"/>
      <w:snapToGrid/>
      <w:sz w:val="18"/>
      <w:szCs w:val="18"/>
      <w:lang w:eastAsia="fr-FR"/>
    </w:rPr>
  </w:style>
  <w:style w:type="paragraph" w:customStyle="1" w:styleId="Sansinterligne1">
    <w:name w:val="Sans interligne1"/>
    <w:next w:val="Sansinterligne"/>
    <w:uiPriority w:val="1"/>
    <w:qFormat/>
    <w:rsid w:val="00B43F8C"/>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B43F8C"/>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B43F8C"/>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B43F8C"/>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B43F8C"/>
    <w:rPr>
      <w:color w:val="0000FF"/>
      <w:u w:val="single"/>
    </w:rPr>
  </w:style>
  <w:style w:type="paragraph" w:customStyle="1" w:styleId="TM31">
    <w:name w:val="TM 31"/>
    <w:basedOn w:val="Titre3"/>
    <w:next w:val="Normal"/>
    <w:autoRedefine/>
    <w:uiPriority w:val="39"/>
    <w:unhideWhenUsed/>
    <w:rsid w:val="00B43F8C"/>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PieddepageCar">
    <w:name w:val="Pied de page Car"/>
    <w:basedOn w:val="Policepardfaut"/>
    <w:link w:val="Pieddepage"/>
    <w:uiPriority w:val="99"/>
    <w:rsid w:val="00B43F8C"/>
    <w:rPr>
      <w:rFonts w:ascii="Arial" w:eastAsia="Times New Roman"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B43F8C"/>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eastAsia="en-US"/>
    </w:rPr>
  </w:style>
  <w:style w:type="character" w:customStyle="1" w:styleId="ParagraphedelisteCar">
    <w:name w:val="Paragraphe de liste Car"/>
    <w:link w:val="Paragraphedeliste1"/>
    <w:uiPriority w:val="34"/>
    <w:rsid w:val="00B43F8C"/>
    <w:rPr>
      <w:rFonts w:ascii="Fira Sans Light" w:eastAsia="Calibri" w:hAnsi="Fira Sans Light" w:cs="Arial"/>
      <w:szCs w:val="22"/>
      <w:lang w:val="en-US" w:eastAsia="en-US"/>
    </w:rPr>
  </w:style>
  <w:style w:type="paragraph" w:customStyle="1" w:styleId="paragraph">
    <w:name w:val="paragraph"/>
    <w:basedOn w:val="Normal"/>
    <w:rsid w:val="00B43F8C"/>
    <w:pPr>
      <w:tabs>
        <w:tab w:val="clear" w:pos="567"/>
      </w:tabs>
      <w:snapToGrid/>
      <w:spacing w:before="100" w:beforeAutospacing="1" w:after="100" w:afterAutospacing="1"/>
    </w:pPr>
    <w:rPr>
      <w:rFonts w:ascii="Times New Roman" w:eastAsia="Times New Roman" w:hAnsi="Times New Roman"/>
      <w:snapToGrid/>
      <w:sz w:val="24"/>
      <w:lang w:eastAsia="fr-FR"/>
    </w:rPr>
  </w:style>
  <w:style w:type="character" w:customStyle="1" w:styleId="eop">
    <w:name w:val="eop"/>
    <w:basedOn w:val="Policepardfaut"/>
    <w:rsid w:val="00B43F8C"/>
  </w:style>
  <w:style w:type="character" w:customStyle="1" w:styleId="ffa">
    <w:name w:val="ffa"/>
    <w:basedOn w:val="Policepardfaut"/>
    <w:rsid w:val="00B43F8C"/>
  </w:style>
  <w:style w:type="character" w:customStyle="1" w:styleId="ws2a">
    <w:name w:val="ws2a"/>
    <w:basedOn w:val="Policepardfaut"/>
    <w:rsid w:val="00B43F8C"/>
  </w:style>
  <w:style w:type="paragraph" w:customStyle="1" w:styleId="Lgende1">
    <w:name w:val="Légende1"/>
    <w:basedOn w:val="Normal"/>
    <w:next w:val="Normal"/>
    <w:uiPriority w:val="35"/>
    <w:unhideWhenUsed/>
    <w:qFormat/>
    <w:rsid w:val="00B43F8C"/>
    <w:pPr>
      <w:tabs>
        <w:tab w:val="clear" w:pos="567"/>
      </w:tabs>
      <w:snapToGrid/>
      <w:spacing w:after="200"/>
    </w:pPr>
    <w:rPr>
      <w:rFonts w:eastAsia="Arial" w:cs="Arial"/>
      <w:i/>
      <w:iCs/>
      <w:snapToGrid/>
      <w:color w:val="4FA68C"/>
      <w:sz w:val="18"/>
      <w:szCs w:val="18"/>
      <w:lang w:val="en-US" w:eastAsia="en-GB"/>
    </w:rPr>
  </w:style>
  <w:style w:type="character" w:customStyle="1" w:styleId="normaltextrun">
    <w:name w:val="normaltextrun"/>
    <w:basedOn w:val="Policepardfaut"/>
    <w:rsid w:val="00B43F8C"/>
  </w:style>
  <w:style w:type="paragraph" w:customStyle="1" w:styleId="Tabledesillustrations1">
    <w:name w:val="Table des illustrations1"/>
    <w:basedOn w:val="Normal"/>
    <w:next w:val="Normal"/>
    <w:uiPriority w:val="99"/>
    <w:unhideWhenUsed/>
    <w:rsid w:val="00B43F8C"/>
    <w:pPr>
      <w:widowControl w:val="0"/>
      <w:tabs>
        <w:tab w:val="clear" w:pos="567"/>
      </w:tabs>
      <w:snapToGrid/>
      <w:spacing w:line="276" w:lineRule="auto"/>
    </w:pPr>
    <w:rPr>
      <w:rFonts w:ascii="Fira Sans Light" w:eastAsia="Calibri" w:hAnsi="Fira Sans Light" w:cs="Arial"/>
      <w:snapToGrid/>
      <w:sz w:val="20"/>
      <w:szCs w:val="22"/>
      <w:lang w:val="en-US" w:eastAsia="en-US"/>
    </w:rPr>
  </w:style>
  <w:style w:type="paragraph" w:customStyle="1" w:styleId="Objetducommentaire1">
    <w:name w:val="Objet du commentaire1"/>
    <w:basedOn w:val="Commentaire"/>
    <w:next w:val="Commentaire"/>
    <w:uiPriority w:val="99"/>
    <w:semiHidden/>
    <w:unhideWhenUsed/>
    <w:rsid w:val="00B43F8C"/>
    <w:pPr>
      <w:widowControl w:val="0"/>
      <w:spacing w:after="200"/>
    </w:pPr>
    <w:rPr>
      <w:rFonts w:ascii="Fira Sans Light" w:eastAsia="Calibri" w:hAnsi="Fira Sans Light" w:cs="Arial"/>
      <w:b/>
      <w:bCs/>
    </w:rPr>
  </w:style>
  <w:style w:type="character" w:customStyle="1" w:styleId="Lienhypertextesuivivisit1">
    <w:name w:val="Lien hypertexte suivi visité1"/>
    <w:basedOn w:val="Policepardfaut"/>
    <w:uiPriority w:val="99"/>
    <w:semiHidden/>
    <w:unhideWhenUsed/>
    <w:rsid w:val="00B43F8C"/>
    <w:rPr>
      <w:color w:val="800080"/>
      <w:u w:val="single"/>
    </w:rPr>
  </w:style>
  <w:style w:type="character" w:customStyle="1" w:styleId="UnresolvedMention1">
    <w:name w:val="Unresolved Mention1"/>
    <w:basedOn w:val="Policepardfaut"/>
    <w:uiPriority w:val="99"/>
    <w:semiHidden/>
    <w:unhideWhenUsed/>
    <w:rsid w:val="00B43F8C"/>
    <w:rPr>
      <w:color w:val="605E5C"/>
      <w:shd w:val="clear" w:color="auto" w:fill="E1DFDD"/>
    </w:rPr>
  </w:style>
  <w:style w:type="character" w:customStyle="1" w:styleId="TextedebullesCar1">
    <w:name w:val="Texte de bulles Car1"/>
    <w:basedOn w:val="Policepardfaut"/>
    <w:semiHidden/>
    <w:rsid w:val="00B43F8C"/>
    <w:rPr>
      <w:rFonts w:ascii="Segoe UI" w:hAnsi="Segoe UI" w:cs="Segoe UI"/>
      <w:snapToGrid w:val="0"/>
      <w:sz w:val="18"/>
      <w:szCs w:val="18"/>
      <w:lang w:eastAsia="en-US"/>
    </w:rPr>
  </w:style>
  <w:style w:type="character" w:customStyle="1" w:styleId="ObjetducommentaireCar1">
    <w:name w:val="Objet du commentaire Car1"/>
    <w:basedOn w:val="CommentaireCar"/>
    <w:semiHidden/>
    <w:rsid w:val="00B43F8C"/>
    <w:rPr>
      <w:rFonts w:ascii="Arial" w:eastAsia="Arial" w:hAnsi="Arial" w:cs="Arial"/>
      <w:b/>
      <w:bCs/>
      <w:lang w:val="en-US" w:eastAsia="en-GB"/>
    </w:rPr>
  </w:style>
  <w:style w:type="character" w:customStyle="1" w:styleId="Mentionnonrsolue1">
    <w:name w:val="Mention non résolue1"/>
    <w:basedOn w:val="Policepardfaut"/>
    <w:uiPriority w:val="99"/>
    <w:semiHidden/>
    <w:unhideWhenUsed/>
    <w:rsid w:val="00B43F8C"/>
    <w:rPr>
      <w:color w:val="605E5C"/>
      <w:shd w:val="clear" w:color="auto" w:fill="E1DFDD"/>
    </w:rPr>
  </w:style>
  <w:style w:type="character" w:customStyle="1" w:styleId="Style2Car">
    <w:name w:val="Style2 Car"/>
    <w:basedOn w:val="Policepardfaut"/>
    <w:rsid w:val="00B43F8C"/>
    <w:rPr>
      <w:rFonts w:ascii="Arial" w:hAnsi="Arial"/>
      <w:iCs/>
      <w:snapToGrid w:val="0"/>
      <w:sz w:val="22"/>
      <w:szCs w:val="22"/>
      <w:shd w:val="clear" w:color="auto" w:fill="FFFFFF"/>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uiPriority w:val="99"/>
    <w:rsid w:val="00B43F8C"/>
    <w:pPr>
      <w:tabs>
        <w:tab w:val="clear" w:pos="567"/>
      </w:tabs>
      <w:snapToGrid/>
      <w:spacing w:before="120" w:after="160" w:line="240" w:lineRule="exact"/>
    </w:pPr>
    <w:rPr>
      <w:rFonts w:ascii="Times New Roman" w:hAnsi="Times New Roman"/>
      <w:snapToGrid/>
      <w:sz w:val="20"/>
      <w:szCs w:val="20"/>
      <w:vertAlign w:val="superscript"/>
    </w:rPr>
  </w:style>
  <w:style w:type="character" w:customStyle="1" w:styleId="Titre7Car">
    <w:name w:val="Titre 7 Car"/>
    <w:basedOn w:val="Policepardfaut"/>
    <w:link w:val="Titre7"/>
    <w:rsid w:val="00B43F8C"/>
    <w:rPr>
      <w:color w:val="000000"/>
      <w:sz w:val="24"/>
      <w:szCs w:val="24"/>
      <w:u w:val="single"/>
    </w:rPr>
  </w:style>
  <w:style w:type="paragraph" w:customStyle="1" w:styleId="JOBSTYLE">
    <w:name w:val="JOBSTYLE"/>
    <w:basedOn w:val="Normal"/>
    <w:rsid w:val="00B43F8C"/>
    <w:pPr>
      <w:tabs>
        <w:tab w:val="left" w:pos="1134"/>
        <w:tab w:val="left" w:pos="6237"/>
      </w:tabs>
      <w:overflowPunct w:val="0"/>
      <w:autoSpaceDE w:val="0"/>
      <w:autoSpaceDN w:val="0"/>
      <w:adjustRightInd w:val="0"/>
      <w:snapToGrid/>
      <w:spacing w:line="960" w:lineRule="auto"/>
      <w:jc w:val="both"/>
      <w:textAlignment w:val="baseline"/>
    </w:pPr>
    <w:rPr>
      <w:rFonts w:ascii="Times New Roman" w:eastAsia="Times New Roman" w:hAnsi="Times New Roman"/>
      <w:snapToGrid/>
      <w:sz w:val="24"/>
      <w:lang w:val="en-GB" w:eastAsia="en-US"/>
    </w:rPr>
  </w:style>
  <w:style w:type="character" w:customStyle="1" w:styleId="UnresolvedMention2">
    <w:name w:val="Unresolved Mention2"/>
    <w:basedOn w:val="Policepardfaut"/>
    <w:uiPriority w:val="99"/>
    <w:semiHidden/>
    <w:unhideWhenUsed/>
    <w:rsid w:val="00B43F8C"/>
    <w:rPr>
      <w:color w:val="605E5C"/>
      <w:shd w:val="clear" w:color="auto" w:fill="E1DFDD"/>
    </w:rPr>
  </w:style>
  <w:style w:type="character" w:customStyle="1" w:styleId="UnresolvedMention3">
    <w:name w:val="Unresolved Mention3"/>
    <w:basedOn w:val="Policepardfaut"/>
    <w:uiPriority w:val="99"/>
    <w:semiHidden/>
    <w:unhideWhenUsed/>
    <w:rsid w:val="00B43F8C"/>
    <w:rPr>
      <w:color w:val="605E5C"/>
      <w:shd w:val="clear" w:color="auto" w:fill="E1DFDD"/>
    </w:rPr>
  </w:style>
  <w:style w:type="character" w:customStyle="1" w:styleId="Titre4Car">
    <w:name w:val="Titre 4 Car"/>
    <w:basedOn w:val="Policepardfaut"/>
    <w:link w:val="Titre4"/>
    <w:uiPriority w:val="9"/>
    <w:rsid w:val="00B43F8C"/>
    <w:rPr>
      <w:rFonts w:ascii="Arial" w:eastAsia="Times New Roman" w:hAnsi="Arial"/>
      <w:b/>
      <w:bCs/>
      <w:snapToGrid w:val="0"/>
      <w:sz w:val="22"/>
      <w:szCs w:val="24"/>
      <w:lang w:eastAsia="en-US"/>
    </w:rPr>
  </w:style>
  <w:style w:type="character" w:customStyle="1" w:styleId="UnresolvedMention4">
    <w:name w:val="Unresolved Mention4"/>
    <w:basedOn w:val="Policepardfaut"/>
    <w:uiPriority w:val="99"/>
    <w:semiHidden/>
    <w:unhideWhenUsed/>
    <w:rsid w:val="00B43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81383">
      <w:bodyDiv w:val="1"/>
      <w:marLeft w:val="0"/>
      <w:marRight w:val="0"/>
      <w:marTop w:val="0"/>
      <w:marBottom w:val="0"/>
      <w:divBdr>
        <w:top w:val="none" w:sz="0" w:space="0" w:color="auto"/>
        <w:left w:val="none" w:sz="0" w:space="0" w:color="auto"/>
        <w:bottom w:val="none" w:sz="0" w:space="0" w:color="auto"/>
        <w:right w:val="none" w:sz="0" w:space="0" w:color="auto"/>
      </w:divBdr>
    </w:div>
    <w:div w:id="194525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nesdoc.unesco.org/ark:/48223/pf0000379465_f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nesdoc.unesco.org/ark:/48223/pf0000375002.locale=en"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0144_fre" TargetMode="External"/><Relationship Id="rId5" Type="http://schemas.openxmlformats.org/officeDocument/2006/relationships/webSettings" Target="webSettings.xml"/><Relationship Id="rId15" Type="http://schemas.openxmlformats.org/officeDocument/2006/relationships/hyperlink" Target="https://unesdoc.unesco.org/ark:/48223/pf0000381488_fre"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oc.unesco.org/news/call-decade-actions-no-01202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3912</Words>
  <Characters>21353</Characters>
  <Application>Microsoft Office Word</Application>
  <DocSecurity>0</DocSecurity>
  <Lines>292</Lines>
  <Paragraphs>50</Paragraphs>
  <ScaleCrop>false</ScaleCrop>
  <HeadingPairs>
    <vt:vector size="2" baseType="variant">
      <vt:variant>
        <vt:lpstr>Titre</vt:lpstr>
      </vt:variant>
      <vt:variant>
        <vt:i4>1</vt:i4>
      </vt:variant>
    </vt:vector>
  </HeadingPairs>
  <TitlesOfParts>
    <vt:vector size="1" baseType="lpstr">
      <vt:lpstr>Projet de programme et de budget pour 2022-2025  _x000d_
‎(second exercice biennal 2024-2025 – 42 C/5) ‎</vt:lpstr>
    </vt:vector>
  </TitlesOfParts>
  <Company>Unesco</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État de mise en œuvre de la Décennie des Nations Unies pour les sciences océaniques au service du développement durable et perspectives pour 2024 _x000d_
</dc:title>
  <dc:subject>IOC/A-32/4.12.Doc(1)</dc:subject>
  <dc:creator>as.machu@unesco.org</dc:creator>
  <cp:keywords>18.12F</cp:keywords>
  <dc:description/>
  <cp:lastModifiedBy>Masseau, Alexandra</cp:lastModifiedBy>
  <cp:revision>15</cp:revision>
  <cp:lastPrinted>2012-08-02T14:52:00Z</cp:lastPrinted>
  <dcterms:created xsi:type="dcterms:W3CDTF">2023-06-06T15:37:00Z</dcterms:created>
  <dcterms:modified xsi:type="dcterms:W3CDTF">2023-06-07T13:06:00Z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202301786</vt:lpwstr>
  </property>
</Properties>
</file>